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 Mathematician based in New Zealand Auckland. The review aims to assess the quality of research, teaching, and professional engagement within the local and international academic communities. Auckland, as a hub for innovation and education in New Zealand, provides a unique environment for mathematical research and application.</w:t>
      </w:r>
    </w:p>
    <w:bookmarkEnd w:id="21"/>
    <w:bookmarkStart w:id="22" w:name="background"/>
    <w:p>
      <w:pPr>
        <w:pStyle w:val="Heading2"/>
      </w:pPr>
      <w:r>
        <w:t xml:space="preserve">2. Background</w:t>
      </w:r>
    </w:p>
    <w:p>
      <w:pPr>
        <w:pStyle w:val="FirstParagraph"/>
      </w:pPr>
      <w:r>
        <w:t xml:space="preserve">The Mathematician under review has been actively involved in research and teaching at a leading institution in Auckland. Their work spans various areas of mathematics, including pure mathematics, applied mathematics, and interdisciplinary studies. The review considers their publications, grants, collaborations, and contributions to the mathematical community in New Zealand and beyond.</w:t>
      </w:r>
    </w:p>
    <w:bookmarkEnd w:id="22"/>
    <w:bookmarkStart w:id="26"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Mathematician has published extensively in reputable journals, demonstrating a strong commitment to advancing mathematical knowledge. Their work has been cited frequently, indicating significant influence in their field. Key publications include studies on differential equations, number theory, and mathematical modeling, which have applications in various scientific and engineering disciplines.</w:t>
      </w:r>
    </w:p>
    <w:bookmarkEnd w:id="23"/>
    <w:bookmarkStart w:id="24" w:name="grants-and-funding"/>
    <w:p>
      <w:pPr>
        <w:pStyle w:val="Heading3"/>
      </w:pPr>
      <w:r>
        <w:t xml:space="preserve">3.2 Grants and Funding</w:t>
      </w:r>
    </w:p>
    <w:p>
      <w:pPr>
        <w:pStyle w:val="FirstParagraph"/>
      </w:pPr>
      <w:r>
        <w:t xml:space="preserve">Securing competitive grants is a testament to the Mathematician's research quality and relevance. They have successfully obtained funding from New Zealand agencies and international bodies, supporting projects that address both theoretical and practical challenges. These grants have facilitated collaborations with other researchers and institutions, enhancing the impact of their work.</w:t>
      </w:r>
    </w:p>
    <w:bookmarkEnd w:id="24"/>
    <w:bookmarkStart w:id="25" w:name="collaborations"/>
    <w:p>
      <w:pPr>
        <w:pStyle w:val="Heading3"/>
      </w:pPr>
      <w:r>
        <w:t xml:space="preserve">3.3 Collaborations</w:t>
      </w:r>
    </w:p>
    <w:p>
      <w:pPr>
        <w:pStyle w:val="FirstParagraph"/>
      </w:pPr>
      <w:r>
        <w:t xml:space="preserve">Collaboration is a cornerstone of modern mathematical research. The Mathematician has engaged in numerous collaborative projects with peers in New Zealand Auckland and internationally. These partnerships have led to innovative solutions and interdisciplinary research, reflecting the Mathematician's ability to work effectively in diverse teams.</w:t>
      </w:r>
    </w:p>
    <w:bookmarkEnd w:id="25"/>
    <w:bookmarkEnd w:id="26"/>
    <w:bookmarkStart w:id="29" w:name="teaching-and-mentorship"/>
    <w:p>
      <w:pPr>
        <w:pStyle w:val="Heading2"/>
      </w:pPr>
      <w:r>
        <w:t xml:space="preserve">4. Teaching and Mentorship</w:t>
      </w:r>
    </w:p>
    <w:bookmarkStart w:id="27" w:name="teaching-quality"/>
    <w:p>
      <w:pPr>
        <w:pStyle w:val="Heading3"/>
      </w:pPr>
      <w:r>
        <w:t xml:space="preserve">4.1 Teaching Quality</w:t>
      </w:r>
    </w:p>
    <w:p>
      <w:pPr>
        <w:pStyle w:val="FirstParagraph"/>
      </w:pPr>
      <w:r>
        <w:t xml:space="preserve">The Mathematician is recognized for their excellence in teaching. They have developed and delivered courses that are both rigorous and accessible, fostering a deep understanding of mathematical concepts among students. Feedback from students consistently highlights their clarity, enthusiasm, and dedication to student success.</w:t>
      </w:r>
    </w:p>
    <w:bookmarkEnd w:id="27"/>
    <w:bookmarkStart w:id="28" w:name="mentorship"/>
    <w:p>
      <w:pPr>
        <w:pStyle w:val="Heading3"/>
      </w:pPr>
      <w:r>
        <w:t xml:space="preserve">4.2 Mentorship</w:t>
      </w:r>
    </w:p>
    <w:p>
      <w:pPr>
        <w:pStyle w:val="FirstParagraph"/>
      </w:pPr>
      <w:r>
        <w:t xml:space="preserve">Mentoring the next generation of mathematicians is a critical aspect of academic life. The Mathematician has supervised numerous undergraduate and postgraduate students, guiding them through their research projects and career development. Many of their mentees have gone on to successful careers in academia, industry, and research institutions.</w:t>
      </w:r>
    </w:p>
    <w:bookmarkEnd w:id="28"/>
    <w:bookmarkEnd w:id="29"/>
    <w:bookmarkStart w:id="32" w:name="professional-engagement"/>
    <w:p>
      <w:pPr>
        <w:pStyle w:val="Heading2"/>
      </w:pPr>
      <w:r>
        <w:t xml:space="preserve">5. Professional Engagement</w:t>
      </w:r>
    </w:p>
    <w:bookmarkStart w:id="30" w:name="conference-participation"/>
    <w:p>
      <w:pPr>
        <w:pStyle w:val="Heading3"/>
      </w:pPr>
      <w:r>
        <w:t xml:space="preserve">5.1 Conference Participation</w:t>
      </w:r>
    </w:p>
    <w:p>
      <w:pPr>
        <w:pStyle w:val="FirstParagraph"/>
      </w:pPr>
      <w:r>
        <w:t xml:space="preserve">Active participation in conferences is essential for staying current and contributing to the mathematical community. The Mathematician has presented their research at national and international conferences, engaging with peers and sharing insights. Their presentations have been well-received, contributing to ongoing discussions and advancements in the field.</w:t>
      </w:r>
    </w:p>
    <w:bookmarkEnd w:id="30"/>
    <w:bookmarkStart w:id="31" w:name="community-involvement"/>
    <w:p>
      <w:pPr>
        <w:pStyle w:val="Heading3"/>
      </w:pPr>
      <w:r>
        <w:t xml:space="preserve">5.2 Community Involvement</w:t>
      </w:r>
    </w:p>
    <w:p>
      <w:pPr>
        <w:pStyle w:val="FirstParagraph"/>
      </w:pPr>
      <w:r>
        <w:t xml:space="preserve">Beyond academia, the Mathematician is involved in various community initiatives in New Zealand Auckland. They have participated in outreach programs aimed at promoting mathematics education and awareness among school students. These efforts help to inspire young minds and encourage diversity in the field of mathematics.</w:t>
      </w:r>
    </w:p>
    <w:bookmarkEnd w:id="31"/>
    <w:bookmarkEnd w:id="32"/>
    <w:bookmarkStart w:id="33" w:name="impact-and-recognition"/>
    <w:p>
      <w:pPr>
        <w:pStyle w:val="Heading2"/>
      </w:pPr>
      <w:r>
        <w:t xml:space="preserve">6. Impact and Recognition</w:t>
      </w:r>
    </w:p>
    <w:p>
      <w:pPr>
        <w:pStyle w:val="FirstParagraph"/>
      </w:pPr>
      <w:r>
        <w:t xml:space="preserve">The Mathematician's work has had a significant impact on both the academic community and practical applications. Their research has influenced policy decisions, technological developments, and educational practices. Recognition from peers, including awards and honors, underscores their contributions to mathematics and their role as a leader in the field.</w:t>
      </w:r>
    </w:p>
    <w:bookmarkEnd w:id="33"/>
    <w:bookmarkStart w:id="34" w:name="areas-for-improvement"/>
    <w:p>
      <w:pPr>
        <w:pStyle w:val="Heading2"/>
      </w:pPr>
      <w:r>
        <w:t xml:space="preserve">7. Areas for Improvement</w:t>
      </w:r>
    </w:p>
    <w:p>
      <w:pPr>
        <w:pStyle w:val="FirstParagraph"/>
      </w:pPr>
      <w:r>
        <w:t xml:space="preserve">While the Mathematician's contributions are commendable, there are areas for further development. Increasing interdisciplinary collaborations could enhance the applicability of their research. Additionally, expanding outreach efforts to underrepresented groups in New Zealand Auckland could promote greater diversity and inclusion in mathematics.</w:t>
      </w:r>
    </w:p>
    <w:bookmarkEnd w:id="34"/>
    <w:bookmarkStart w:id="35" w:name="conclusion"/>
    <w:p>
      <w:pPr>
        <w:pStyle w:val="Heading2"/>
      </w:pPr>
      <w:r>
        <w:t xml:space="preserve">8. Conclusion</w:t>
      </w:r>
    </w:p>
    <w:p>
      <w:pPr>
        <w:pStyle w:val="FirstParagraph"/>
      </w:pPr>
      <w:r>
        <w:t xml:space="preserve">In conclusion, this Peer Review Report highlights the substantial contributions of the Mathematician in New Zealand Auckland. Their research, teaching, and professional engagement have significantly advanced the field of mathematics and benefited the broader community. Continued support and recognition will enable them to further their impactful work and inspire future generations of mathematicians.</w:t>
      </w:r>
    </w:p>
    <w:bookmarkEnd w:id="35"/>
    <w:bookmarkStart w:id="36" w:name="recommendations"/>
    <w:p>
      <w:pPr>
        <w:pStyle w:val="Heading2"/>
      </w:pPr>
      <w:r>
        <w:t xml:space="preserve">9. Recommendations</w:t>
      </w:r>
    </w:p>
    <w:p>
      <w:pPr>
        <w:numPr>
          <w:ilvl w:val="0"/>
          <w:numId w:val="1001"/>
        </w:numPr>
        <w:pStyle w:val="Compact"/>
      </w:pPr>
      <w:r>
        <w:t xml:space="preserve">Encourage further interdisciplinary research collaborations.</w:t>
      </w:r>
    </w:p>
    <w:p>
      <w:pPr>
        <w:numPr>
          <w:ilvl w:val="0"/>
          <w:numId w:val="1001"/>
        </w:numPr>
        <w:pStyle w:val="Compact"/>
      </w:pPr>
      <w:r>
        <w:t xml:space="preserve">Expand community outreach programs to promote mathematics education.</w:t>
      </w:r>
    </w:p>
    <w:p>
      <w:pPr>
        <w:numPr>
          <w:ilvl w:val="0"/>
          <w:numId w:val="1001"/>
        </w:numPr>
        <w:pStyle w:val="Compact"/>
      </w:pPr>
      <w:r>
        <w:t xml:space="preserve">Support initiatives that enhance diversity and inclusion in the mathematical community.</w:t>
      </w:r>
    </w:p>
    <w:bookmarkEnd w:id="36"/>
    <w:bookmarkStart w:id="37" w:name="reviewer-information"/>
    <w:p>
      <w:pPr>
        <w:pStyle w:val="Heading2"/>
      </w:pPr>
      <w:r>
        <w:t xml:space="preserve">10.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[Reviewer Name]</w:t>
            </w:r>
          </w:p>
        </w:tc>
      </w:tr>
      <w:tr>
        <w:tc>
          <w:tcPr/>
          <w:p>
            <w:pPr>
              <w:pStyle w:val="Compact"/>
              <w:jc w:val="left"/>
            </w:pPr>
            <w:r>
              <w:t xml:space="preserve">Affiliation</w:t>
            </w:r>
          </w:p>
        </w:tc>
        <w:tc>
          <w:tcPr/>
          <w:p>
            <w:pPr>
              <w:pStyle w:val="Compact"/>
              <w:jc w:val="left"/>
            </w:pPr>
            <w:r>
              <w:t xml:space="preserve">[Institution Name], New Zealand Auckland</w:t>
            </w:r>
          </w:p>
        </w:tc>
      </w:tr>
      <w:tr>
        <w:tc>
          <w:tcPr/>
          <w:p>
            <w:pPr>
              <w:pStyle w:val="Compact"/>
              <w:jc w:val="left"/>
            </w:pPr>
            <w:r>
              <w:t xml:space="preserve">Contact</w:t>
            </w:r>
          </w:p>
        </w:tc>
        <w:tc>
          <w:tcPr/>
          <w:p>
            <w:pPr>
              <w:pStyle w:val="Compact"/>
              <w:jc w:val="left"/>
            </w:pPr>
            <w:r>
              <w:t xml:space="preserve">[Email Address]</w:t>
            </w:r>
          </w:p>
        </w:tc>
      </w:tr>
    </w:tbl>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New Zealand Auckland</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