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Evaluation of Academic and Professional Competence in Mathematics</w:t>
      </w:r>
    </w:p>
    <w:bookmarkEnd w:id="20"/>
    <w:p>
      <w:pPr>
        <w:pStyle w:val="BodyText"/>
      </w:pPr>
      <w:r>
        <w:rPr>
          <w:bCs/>
          <w:b/>
        </w:rPr>
        <w:t xml:space="preserve">Subject:</w:t>
      </w:r>
      <w:r>
        <w:t xml:space="preserve"> </w:t>
      </w:r>
      <w:r>
        <w:t xml:space="preserve">Dr. [Candidate Name], Mathematician</w:t>
      </w:r>
    </w:p>
    <w:p>
      <w:pPr>
        <w:pStyle w:val="BodyText"/>
      </w:pPr>
      <w:r>
        <w:rPr>
          <w:bCs/>
          <w:b/>
        </w:rPr>
        <w:t xml:space="preserve">Location:</w:t>
      </w:r>
      <w:r>
        <w:t xml:space="preserve"> </w:t>
      </w:r>
      <w:r>
        <w:t xml:space="preserve">Turkey Istanbul</w:t>
      </w:r>
    </w:p>
    <w:p>
      <w:pPr>
        <w:pStyle w:val="BodyText"/>
      </w:pPr>
      <w:r>
        <w:rPr>
          <w:bCs/>
          <w:b/>
        </w:rPr>
        <w:t xml:space="preserve">Review Date:</w:t>
      </w:r>
      <w:r>
        <w:t xml:space="preserve"> </w:t>
      </w:r>
      <w:r>
        <w:t xml:space="preserve">October 24, 2023</w:t>
      </w:r>
    </w:p>
    <w:p>
      <w:pPr>
        <w:pStyle w:val="BodyText"/>
      </w:pPr>
      <w:r>
        <w:rPr>
          <w:bCs/>
          <w:b/>
        </w:rPr>
        <w:t xml:space="preserve">Review Panel:</w:t>
      </w:r>
      <w:r>
        <w:t xml:space="preserve"> </w:t>
      </w:r>
      <w:r>
        <w:t xml:space="preserve">International Mathematics Advisory Board</w:t>
      </w:r>
    </w:p>
    <w:p>
      <w:pPr>
        <w:pStyle w:val="BodyText"/>
      </w:pPr>
      <w:r>
        <w:rPr>
          <w:bCs/>
          <w:b/>
        </w:rPr>
        <w:t xml:space="preserve">Institution:</w:t>
      </w:r>
      <w:r>
        <w:t xml:space="preserve"> </w:t>
      </w:r>
      <w:r>
        <w:t xml:space="preserve">[University/Research Center Name], Istanbul</w:t>
      </w:r>
    </w:p>
    <w:p>
      <w:pPr>
        <w:pStyle w:val="BodyText"/>
      </w:pPr>
      <w:r>
        <w:rPr>
          <w:bCs/>
          <w:b/>
        </w:rPr>
        <w:t xml:space="preserve">Report ID:</w:t>
      </w:r>
      <w:r>
        <w:t xml:space="preserve"> </w:t>
      </w:r>
      <w:r>
        <w:t xml:space="preserve">TR-IST-MATH-2023-089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research output, and academic contributions of the candidate identified as a</w:t>
      </w:r>
      <w:r>
        <w:t xml:space="preserve"> </w:t>
      </w:r>
      <w:r>
        <w:rPr>
          <w:bCs/>
          <w:b/>
        </w:rPr>
        <w:t xml:space="preserve">Mathematician</w:t>
      </w:r>
      <w:r>
        <w:t xml:space="preserve"> </w:t>
      </w:r>
      <w:r>
        <w:t xml:space="preserve">currently affiliated with an institution in</w:t>
      </w:r>
      <w:r>
        <w:t xml:space="preserve"> </w:t>
      </w:r>
      <w:r>
        <w:rPr>
          <w:bCs/>
          <w:b/>
        </w:rPr>
        <w:t xml:space="preserve">Turkey Istanbul</w:t>
      </w:r>
      <w:r>
        <w:t xml:space="preserve">. The review was conducted in accordance with international academic standards and local regulatory requirements set forth by the Turkish Higher Education Council (YÖK). The primary objective of this evaluation is to determine the candidate's suitability for tenure, promotion, or continued funding within the competitive academic landscape of Istanbul, a city renowned for its growing prominence in mathematical sciences and interdisciplinary research.</w:t>
      </w:r>
    </w:p>
    <w:p>
      <w:pPr>
        <w:pStyle w:val="BodyText"/>
      </w:pPr>
      <w:r>
        <w:t xml:space="preserve">The candidate has demonstrated a robust command of advanced mathematical theories, particularly in the fields of applied mathematics and computational modeling. Their work aligns well with the strategic research goals of Turkish academic institutions, which increasingly prioritize quantitative sciences to drive technological innovation and economic development.</w:t>
      </w:r>
    </w:p>
    <w:bookmarkEnd w:id="21"/>
    <w:bookmarkStart w:id="22" w:name="Xb86290090bfea3c8939ada0ef133d4bb2d9ff21"/>
    <w:p>
      <w:pPr>
        <w:pStyle w:val="Heading2"/>
      </w:pPr>
      <w:r>
        <w:t xml:space="preserve">2. Evaluation of Research Output and Publications</w:t>
      </w:r>
    </w:p>
    <w:p>
      <w:pPr>
        <w:pStyle w:val="FirstParagraph"/>
      </w:pPr>
      <w:r>
        <w:t xml:space="preserve">A critical component of this</w:t>
      </w:r>
      <w:r>
        <w:t xml:space="preserve"> </w:t>
      </w:r>
      <w:r>
        <w:rPr>
          <w:bCs/>
          <w:b/>
        </w:rPr>
        <w:t xml:space="preserve">Peer Review Report</w:t>
      </w:r>
      <w:r>
        <w:t xml:space="preserve"> </w:t>
      </w:r>
      <w:r>
        <w:t xml:space="preserve">is the analysis of the</w:t>
      </w:r>
      <w:r>
        <w:t xml:space="preserve"> </w:t>
      </w:r>
      <w:r>
        <w:rPr>
          <w:bCs/>
          <w:b/>
        </w:rPr>
        <w:t xml:space="preserve">Mathematician</w:t>
      </w:r>
      <w:r>
        <w:t xml:space="preserve">'s publication record. The candidate has published extensively in high-impact, peer-reviewed journals indexed in Scopus and Web of Science. Notably, several papers have been published in collaboration with researchers from leading universities in</w:t>
      </w:r>
      <w:r>
        <w:t xml:space="preserve"> </w:t>
      </w:r>
      <w:r>
        <w:rPr>
          <w:bCs/>
          <w:b/>
        </w:rPr>
        <w:t xml:space="preserve">Turkey Istanbul</w:t>
      </w:r>
      <w:r>
        <w:t xml:space="preserve">, such as Boğaziçi University, Koç University, and Istanbul Technical University.</w:t>
      </w:r>
    </w:p>
    <w:p>
      <w:pPr>
        <w:pStyle w:val="BodyText"/>
      </w:pPr>
      <w:r>
        <w:t xml:space="preserve">The quality of the research is characterized by rigorous proof structures and novel applications of abstract algebra and differential equations to real-world problems. The candidate's work on stochastic processes has been particularly well-received, offering new insights into financial modeling relevant to the Istanbul Stock Exchange. This local relevance enhances the practical value of their academic contributions within the region.</w:t>
      </w:r>
    </w:p>
    <w:p>
      <w:pPr>
        <w:numPr>
          <w:ilvl w:val="0"/>
          <w:numId w:val="1001"/>
        </w:numPr>
        <w:pStyle w:val="Compact"/>
      </w:pPr>
      <w:r>
        <w:rPr>
          <w:bCs/>
          <w:b/>
        </w:rPr>
        <w:t xml:space="preserve">Quantity:</w:t>
      </w:r>
      <w:r>
        <w:t xml:space="preserve"> </w:t>
      </w:r>
      <w:r>
        <w:t xml:space="preserve">25 peer-reviewed articles in the last five years.</w:t>
      </w:r>
    </w:p>
    <w:p>
      <w:pPr>
        <w:numPr>
          <w:ilvl w:val="0"/>
          <w:numId w:val="1001"/>
        </w:numPr>
        <w:pStyle w:val="Compact"/>
      </w:pPr>
      <w:r>
        <w:rPr>
          <w:bCs/>
          <w:b/>
        </w:rPr>
        <w:t xml:space="preserve">Quality:</w:t>
      </w:r>
      <w:r>
        <w:t xml:space="preserve"> </w:t>
      </w:r>
      <w:r>
        <w:t xml:space="preserve">Average impact factor of 3.8; includes publications in top-tier journals.</w:t>
      </w:r>
    </w:p>
    <w:p>
      <w:pPr>
        <w:numPr>
          <w:ilvl w:val="0"/>
          <w:numId w:val="1001"/>
        </w:numPr>
        <w:pStyle w:val="Compact"/>
      </w:pPr>
      <w:r>
        <w:rPr>
          <w:bCs/>
          <w:b/>
        </w:rPr>
        <w:t xml:space="preserve">Citations:</w:t>
      </w:r>
      <w:r>
        <w:t xml:space="preserve"> </w:t>
      </w:r>
      <w:r>
        <w:t xml:space="preserve">Significant citation growth, indicating increasing influence in the global mathematical community.</w:t>
      </w:r>
    </w:p>
    <w:bookmarkEnd w:id="22"/>
    <w:bookmarkStart w:id="23" w:name="teaching-and-mentorship"/>
    <w:p>
      <w:pPr>
        <w:pStyle w:val="Heading2"/>
      </w:pPr>
      <w:r>
        <w:t xml:space="preserve">3. Teaching and Mentorship</w:t>
      </w:r>
    </w:p>
    <w:p>
      <w:pPr>
        <w:pStyle w:val="FirstParagraph"/>
      </w:pPr>
      <w:r>
        <w:t xml:space="preserve">In the context of</w:t>
      </w:r>
      <w:r>
        <w:t xml:space="preserve"> </w:t>
      </w:r>
      <w:r>
        <w:rPr>
          <w:bCs/>
          <w:b/>
        </w:rPr>
        <w:t xml:space="preserve">Turkey Istanbul</w:t>
      </w:r>
      <w:r>
        <w:t xml:space="preserve">, where there is a high demand for skilled quantitative professionals, the teaching performance of the</w:t>
      </w:r>
      <w:r>
        <w:t xml:space="preserve"> </w:t>
      </w:r>
      <w:r>
        <w:rPr>
          <w:bCs/>
          <w:b/>
        </w:rPr>
        <w:t xml:space="preserve">Mathematician</w:t>
      </w:r>
      <w:r>
        <w:t xml:space="preserve"> </w:t>
      </w:r>
      <w:r>
        <w:t xml:space="preserve">is of paramount importance. Student evaluations indicate a high level of satisfaction with the candidate's clarity, engagement, and ability to simplify complex concepts. The candidate has successfully taught core courses in real analysis, linear algebra, and numerical methods.</w:t>
      </w:r>
    </w:p>
    <w:p>
      <w:pPr>
        <w:pStyle w:val="BodyText"/>
      </w:pPr>
      <w:r>
        <w:t xml:space="preserve">Furthermore, the candidate has actively mentored graduate students, several of whom have gone on to secure research positions in both Turkish and international institutions. This mentorship contributes significantly to the development of the next generation of mathematicians in Turkey, fostering a sustainable academic ecosystem in Istanbul.</w:t>
      </w:r>
    </w:p>
    <w:bookmarkEnd w:id="23"/>
    <w:bookmarkStart w:id="24" w:name="Xf980a1d44ff1c8d84b613dfae04698363b69713"/>
    <w:p>
      <w:pPr>
        <w:pStyle w:val="Heading2"/>
      </w:pPr>
      <w:r>
        <w:t xml:space="preserve">4. Professional Service and Community Engagement</w:t>
      </w:r>
    </w:p>
    <w:p>
      <w:pPr>
        <w:pStyle w:val="FirstParagraph"/>
      </w:pPr>
      <w:r>
        <w:t xml:space="preserve">The</w:t>
      </w:r>
      <w:r>
        <w:t xml:space="preserve"> </w:t>
      </w:r>
      <w:r>
        <w:rPr>
          <w:bCs/>
          <w:b/>
        </w:rPr>
        <w:t xml:space="preserve">Mathematician</w:t>
      </w:r>
      <w:r>
        <w:t xml:space="preserve"> </w:t>
      </w:r>
      <w:r>
        <w:t xml:space="preserve">has demonstrated strong commitment to professional service. They have served as a reviewer for numerous international journals and have organized workshops and seminars in</w:t>
      </w:r>
      <w:r>
        <w:t xml:space="preserve"> </w:t>
      </w:r>
      <w:r>
        <w:rPr>
          <w:bCs/>
          <w:b/>
        </w:rPr>
        <w:t xml:space="preserve">Turkey Istanbul</w:t>
      </w:r>
      <w:r>
        <w:t xml:space="preserve"> </w:t>
      </w:r>
      <w:r>
        <w:t xml:space="preserve">that bridge the gap between theoretical mathematics and industry applications. Their involvement in the Turkish Mathematical Society (TMD) highlights their dedication to advancing the discipline within the national context.</w:t>
      </w:r>
    </w:p>
    <w:p>
      <w:pPr>
        <w:pStyle w:val="BodyText"/>
      </w:pPr>
      <w:r>
        <w:t xml:space="preserve">Additionally, the candidate has participated in public outreach programs aimed at promoting STEM education among high school students in Istanbul. These efforts are crucial for inspiring young minds and addressing the need for a stronger pipeline of future mathematicians in Turkey.</w:t>
      </w:r>
    </w:p>
    <w:bookmarkEnd w:id="24"/>
    <w:bookmarkStart w:id="28" w:name="strengths-and-areas-for-improvement"/>
    <w:p>
      <w:pPr>
        <w:pStyle w:val="Heading2"/>
      </w:pPr>
      <w:r>
        <w:t xml:space="preserve">5. Strengths and Areas for Improvement</w:t>
      </w:r>
    </w:p>
    <w:bookmarkStart w:id="25" w:name="strengths"/>
    <w:p>
      <w:pPr>
        <w:pStyle w:val="Heading3"/>
      </w:pPr>
      <w:r>
        <w:t xml:space="preserve">Strengths</w:t>
      </w:r>
    </w:p>
    <w:p>
      <w:pPr>
        <w:numPr>
          <w:ilvl w:val="0"/>
          <w:numId w:val="1002"/>
        </w:numPr>
        <w:pStyle w:val="Compact"/>
      </w:pPr>
      <w:r>
        <w:t xml:space="preserve">Exceptional analytical skills and depth of knowledge in specialized mathematical fields.</w:t>
      </w:r>
    </w:p>
    <w:p>
      <w:pPr>
        <w:numPr>
          <w:ilvl w:val="0"/>
          <w:numId w:val="1002"/>
        </w:numPr>
        <w:pStyle w:val="Compact"/>
      </w:pPr>
      <w:r>
        <w:t xml:space="preserve">Strong collaborative network within and beyond</w:t>
      </w:r>
      <w:r>
        <w:t xml:space="preserve"> </w:t>
      </w:r>
      <w:r>
        <w:rPr>
          <w:bCs/>
          <w:b/>
        </w:rPr>
        <w:t xml:space="preserve">Turkey Istanbul</w:t>
      </w:r>
      <w:r>
        <w:t xml:space="preserve">.</w:t>
      </w:r>
    </w:p>
    <w:p>
      <w:pPr>
        <w:numPr>
          <w:ilvl w:val="0"/>
          <w:numId w:val="1002"/>
        </w:numPr>
        <w:pStyle w:val="Compact"/>
      </w:pPr>
      <w:r>
        <w:t xml:space="preserve">Effective communication of complex ideas to both academic and non-academic audiences.</w:t>
      </w:r>
    </w:p>
    <w:p>
      <w:pPr>
        <w:numPr>
          <w:ilvl w:val="0"/>
          <w:numId w:val="1002"/>
        </w:numPr>
        <w:pStyle w:val="Compact"/>
      </w:pPr>
      <w:r>
        <w:t xml:space="preserve">Consistent record of high-quality research output.</w:t>
      </w:r>
    </w:p>
    <w:bookmarkEnd w:id="25"/>
    <w:bookmarkStart w:id="26" w:name="areas-for-improvement"/>
    <w:p>
      <w:pPr>
        <w:pStyle w:val="Heading3"/>
      </w:pPr>
      <w:r>
        <w:t xml:space="preserve">Areas for Improvement</w:t>
      </w:r>
    </w:p>
    <w:p>
      <w:pPr>
        <w:numPr>
          <w:ilvl w:val="0"/>
          <w:numId w:val="1003"/>
        </w:numPr>
        <w:pStyle w:val="Compact"/>
      </w:pPr>
      <w:r>
        <w:t xml:space="preserve">Increased focus on securing large-scale international research grants to further elevate the profile of their work.</w:t>
      </w:r>
    </w:p>
    <w:p>
      <w:pPr>
        <w:numPr>
          <w:ilvl w:val="0"/>
          <w:numId w:val="1003"/>
        </w:numPr>
        <w:pStyle w:val="Compact"/>
      </w:pPr>
      <w:r>
        <w:t xml:space="preserve">Greater integration of interdisciplinary projects, particularly with computer science and engineering departments in Istanbul.</w:t>
      </w:r>
    </w:p>
    <w:p>
      <w:pPr>
        <w:numPr>
          <w:ilvl w:val="0"/>
          <w:numId w:val="1003"/>
        </w:numPr>
        <w:pStyle w:val="Compact"/>
      </w:pPr>
      <w:r>
        <w:t xml:space="preserve">Enhanced visibility in global mathematical conferences to strengthen international recognition.</w:t>
      </w:r>
    </w:p>
    <w:bookmarkEnd w:id="26"/>
    <w:bookmarkStart w:id="27" w:name="overall-assessment-scores"/>
    <w:p>
      <w:pPr>
        <w:pStyle w:val="Heading3"/>
      </w:pPr>
      <w:r>
        <w:t xml:space="preserve">Overall Assessment Scores</w:t>
      </w:r>
    </w:p>
    <w:p>
      <w:pPr>
        <w:pStyle w:val="FirstParagraph"/>
      </w:pPr>
      <w:r>
        <w:t xml:space="preserve">Research Excellence:</w:t>
      </w:r>
      <w:r>
        <w:t xml:space="preserve"> </w:t>
      </w:r>
      <w:r>
        <w:t xml:space="preserve">9.2 / 10</w:t>
      </w:r>
    </w:p>
    <w:p>
      <w:pPr>
        <w:pStyle w:val="BodyText"/>
      </w:pPr>
      <w:r>
        <w:t xml:space="preserve">Teaching Effectiveness:</w:t>
      </w:r>
      <w:r>
        <w:t xml:space="preserve"> </w:t>
      </w:r>
      <w:r>
        <w:t xml:space="preserve">8.8 / 10</w:t>
      </w:r>
    </w:p>
    <w:p>
      <w:pPr>
        <w:pStyle w:val="BodyText"/>
      </w:pPr>
      <w:r>
        <w:t xml:space="preserve">Professional Service:</w:t>
      </w:r>
      <w:r>
        <w:t xml:space="preserve"> </w:t>
      </w:r>
      <w:r>
        <w:t xml:space="preserve">8.5 / 10</w:t>
      </w:r>
    </w:p>
    <w:p>
      <w:pPr>
        <w:pStyle w:val="BodyText"/>
      </w:pPr>
      <w:r>
        <w:t xml:space="preserve">Overall Rating:</w:t>
      </w:r>
      <w:r>
        <w:t xml:space="preserve"> </w:t>
      </w:r>
      <w:r>
        <w:t xml:space="preserve">9.0 / 10</w:t>
      </w:r>
    </w:p>
    <w:bookmarkEnd w:id="27"/>
    <w:bookmarkEnd w:id="28"/>
    <w:bookmarkStart w:id="29" w:name="final-recommendation"/>
    <w:p>
      <w:pPr>
        <w:pStyle w:val="Heading2"/>
      </w:pPr>
      <w:r>
        <w:t xml:space="preserve">6. Final Recommendation</w:t>
      </w:r>
    </w:p>
    <w:p>
      <w:pPr>
        <w:pStyle w:val="FirstParagraph"/>
      </w:pPr>
      <w:r>
        <w:t xml:space="preserve">Based on the thorough evaluation detailed in this</w:t>
      </w:r>
      <w:r>
        <w:t xml:space="preserve"> </w:t>
      </w:r>
      <w:r>
        <w:rPr>
          <w:bCs/>
          <w:b/>
        </w:rPr>
        <w:t xml:space="preserve">Peer Review Report</w:t>
      </w:r>
      <w:r>
        <w:t xml:space="preserve">, the review panel unanimously recommends the</w:t>
      </w:r>
      <w:r>
        <w:t xml:space="preserve"> </w:t>
      </w:r>
      <w:r>
        <w:rPr>
          <w:bCs/>
          <w:b/>
        </w:rPr>
        <w:t xml:space="preserve">Mathematician</w:t>
      </w:r>
      <w:r>
        <w:t xml:space="preserve"> </w:t>
      </w:r>
      <w:r>
        <w:t xml:space="preserve">for [Tenure/Promotion/Continued Funding]. The candidate's contributions to the field of mathematics, combined with their active engagement in the academic community of</w:t>
      </w:r>
      <w:r>
        <w:t xml:space="preserve"> </w:t>
      </w:r>
      <w:r>
        <w:rPr>
          <w:bCs/>
          <w:b/>
        </w:rPr>
        <w:t xml:space="preserve">Turkey Istanbul</w:t>
      </w:r>
      <w:r>
        <w:t xml:space="preserve">, make them a valuable asset to their institution. Their work not only advances theoretical knowledge but also supports the broader scientific and economic goals of Turkey. We encourage the candidate to continue their excellent work while addressing the identified areas for improvement to further enhance their global impact.</w:t>
      </w:r>
    </w:p>
    <w:bookmarkEnd w:id="29"/>
    <w:p>
      <w:pPr>
        <w:pStyle w:val="BodyText"/>
      </w:pPr>
      <w:r>
        <w:t xml:space="preserve">This document is an official</w:t>
      </w:r>
      <w:r>
        <w:t xml:space="preserve"> </w:t>
      </w:r>
      <w:r>
        <w:rPr>
          <w:bCs/>
          <w:b/>
        </w:rPr>
        <w:t xml:space="preserve">Peer Review Report</w:t>
      </w:r>
      <w:r>
        <w:t xml:space="preserve"> </w:t>
      </w:r>
      <w:r>
        <w:t xml:space="preserve">prepared for internal academic use. All information is confidential and intended solely for the evaluation of the specified</w:t>
      </w:r>
      <w:r>
        <w:t xml:space="preserve"> </w:t>
      </w:r>
      <w:r>
        <w:rPr>
          <w:bCs/>
          <w:b/>
        </w:rPr>
        <w:t xml:space="preserve">Mathematician</w:t>
      </w:r>
      <w:r>
        <w:t xml:space="preserve"> </w:t>
      </w:r>
      <w:r>
        <w:t xml:space="preserve">in</w:t>
      </w:r>
      <w:r>
        <w:t xml:space="preserve"> </w:t>
      </w:r>
      <w:r>
        <w:rPr>
          <w:bCs/>
          <w:b/>
        </w:rPr>
        <w:t xml:space="preserve">Turkey Istanbul</w:t>
      </w:r>
      <w:r>
        <w:t xml:space="preserve">.</w:t>
      </w:r>
    </w:p>
    <w:p>
      <w:pPr>
        <w:pStyle w:val="BodyText"/>
      </w:pPr>
      <w:r>
        <w:t xml:space="preserve">© 2023 International Mathematics Advisory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 - Istanbul, Turkey</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