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Competence of a Mathematician</w:t>
      </w:r>
    </w:p>
    <w:p>
      <w:pPr>
        <w:pStyle w:val="BodyText"/>
      </w:pPr>
      <w:r>
        <w:rPr>
          <w:bCs/>
          <w:b/>
        </w:rPr>
        <w:t xml:space="preserve">Location Context:</w:t>
      </w:r>
      <w:r>
        <w:t xml:space="preserve"> </w:t>
      </w:r>
      <w:r>
        <w:t xml:space="preserve">Uzbekistan, Tashkent</w:t>
      </w:r>
    </w:p>
    <w:bookmarkEnd w:id="20"/>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Department of Fundamental Mathematics</w:t>
      </w:r>
    </w:p>
    <w:p>
      <w:pPr>
        <w:pStyle w:val="BodyText"/>
      </w:pPr>
      <w:r>
        <w:rPr>
          <w:bCs/>
          <w:b/>
        </w:rPr>
        <w:t xml:space="preserve">Institution:</w:t>
      </w:r>
      <w:r>
        <w:t xml:space="preserve"> </w:t>
      </w:r>
      <w:r>
        <w:t xml:space="preserve">National University of Uzbekistan / Institute of Mathematics</w:t>
      </w:r>
    </w:p>
    <w:p>
      <w:pPr>
        <w:pStyle w:val="BodyText"/>
      </w:pPr>
      <w:r>
        <w:rPr>
          <w:bCs/>
          <w:b/>
        </w:rPr>
        <w:t xml:space="preserve">Review Type:</w:t>
      </w:r>
      <w:r>
        <w:t xml:space="preserve"> </w:t>
      </w:r>
      <w:r>
        <w:t xml:space="preserve">Comprehensive Academic and Professional Assessment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academic standing, research output, and professional contributions of a distinguished</w:t>
      </w:r>
      <w:r>
        <w:t xml:space="preserve"> </w:t>
      </w:r>
      <w:r>
        <w:rPr>
          <w:bCs/>
          <w:b/>
        </w:rPr>
        <w:t xml:space="preserve">Mathematician</w:t>
      </w:r>
      <w:r>
        <w:t xml:space="preserve"> </w:t>
      </w:r>
      <w:r>
        <w:t xml:space="preserve">currently affiliated with a leading research institution in</w:t>
      </w:r>
      <w:r>
        <w:t xml:space="preserve"> </w:t>
      </w:r>
      <w:r>
        <w:rPr>
          <w:bCs/>
          <w:b/>
        </w:rPr>
        <w:t xml:space="preserve">Uzbekistan, Tashkent</w:t>
      </w:r>
      <w:r>
        <w:t xml:space="preserve">. The review process adheres to international standards of academic evaluation while considering the specific scientific landscape and developmental goals of the Uzbek Republic. The primary objective is to assess the candidate's suitability for senior academic tenure, grant funding eligibility, and leadership roles within the national mathematical community.</w:t>
      </w:r>
    </w:p>
    <w:p>
      <w:pPr>
        <w:pStyle w:val="BodyText"/>
      </w:pPr>
      <w:r>
        <w:t xml:space="preserve">The review panel has analyzed the candidate's publication history, teaching methodology, grant management, and contribution to the scientific ecosystem of Tashkent. The overall assessment indicates a high level of competence, with specific strengths in applied mathematics and a commendable commitment to fostering the next generation of scientists in Uzbekistan.</w:t>
      </w:r>
    </w:p>
    <w:bookmarkEnd w:id="21"/>
    <w:bookmarkStart w:id="22" w:name="research-output-and-scientific-rigor"/>
    <w:p>
      <w:pPr>
        <w:pStyle w:val="Heading2"/>
      </w:pPr>
      <w:r>
        <w:t xml:space="preserve">2. Research Output and Scientific Rigor</w:t>
      </w:r>
    </w:p>
    <w:p>
      <w:pPr>
        <w:pStyle w:val="FirstParagraph"/>
      </w:pPr>
      <w:r>
        <w:t xml:space="preserve">The core of this evaluation focuses on the quality and impact of the</w:t>
      </w:r>
      <w:r>
        <w:t xml:space="preserve"> </w:t>
      </w:r>
      <w:r>
        <w:rPr>
          <w:bCs/>
          <w:b/>
        </w:rPr>
        <w:t xml:space="preserve">Mathematician</w:t>
      </w:r>
      <w:r>
        <w:t xml:space="preserve">'s research. The candidate has demonstrated a robust command of complex theoretical frameworks, particularly in the fields of differential equations and mathematical modeling. The review panel notes that the research is not only theoretically sound but also possesses significant practical applications relevant to the industrial and technological sectors of</w:t>
      </w:r>
      <w:r>
        <w:t xml:space="preserve"> </w:t>
      </w:r>
      <w:r>
        <w:rPr>
          <w:bCs/>
          <w:b/>
        </w:rPr>
        <w:t xml:space="preserve">Uzbekistan</w:t>
      </w:r>
      <w:r>
        <w:t xml:space="preserve">.</w:t>
      </w:r>
    </w:p>
    <w:p>
      <w:pPr>
        <w:pStyle w:val="BodyText"/>
      </w:pPr>
      <w:r>
        <w:t xml:space="preserve">In the context of</w:t>
      </w:r>
      <w:r>
        <w:t xml:space="preserve"> </w:t>
      </w:r>
      <w:r>
        <w:rPr>
          <w:bCs/>
          <w:b/>
        </w:rPr>
        <w:t xml:space="preserve">Tashkent</w:t>
      </w:r>
      <w:r>
        <w:t xml:space="preserve">, which is rapidly emerging as a hub for scientific innovation in Central Asia, the candidate's work aligns well with national priorities. The publications reviewed show a consistent trajectory of improvement in citation metrics. The</w:t>
      </w:r>
      <w:r>
        <w:t xml:space="preserve"> </w:t>
      </w:r>
      <w:r>
        <w:rPr>
          <w:bCs/>
          <w:b/>
        </w:rPr>
        <w:t xml:space="preserve">Mathematician</w:t>
      </w:r>
      <w:r>
        <w:t xml:space="preserve"> </w:t>
      </w:r>
      <w:r>
        <w:t xml:space="preserve">has successfully published in high-impact international journals, thereby enhancing the global visibility of Uzbek scientific research.</w:t>
      </w:r>
    </w:p>
    <w:p>
      <w:pPr>
        <w:numPr>
          <w:ilvl w:val="0"/>
          <w:numId w:val="1001"/>
        </w:numPr>
        <w:pStyle w:val="Compact"/>
      </w:pPr>
      <w:r>
        <w:rPr>
          <w:bCs/>
          <w:b/>
        </w:rPr>
        <w:t xml:space="preserve">Theoretical Depth:</w:t>
      </w:r>
      <w:r>
        <w:t xml:space="preserve"> </w:t>
      </w:r>
      <w:r>
        <w:t xml:space="preserve">The candidate exhibits exceptional analytical skills, capable of deriving novel solutions to longstanding problems in their subfield.</w:t>
      </w:r>
    </w:p>
    <w:p>
      <w:pPr>
        <w:numPr>
          <w:ilvl w:val="0"/>
          <w:numId w:val="1001"/>
        </w:numPr>
        <w:pStyle w:val="Compact"/>
      </w:pPr>
      <w:r>
        <w:rPr>
          <w:bCs/>
          <w:b/>
        </w:rPr>
        <w:t xml:space="preserve">Methodological Soundness:</w:t>
      </w:r>
      <w:r>
        <w:t xml:space="preserve"> </w:t>
      </w:r>
      <w:r>
        <w:t xml:space="preserve">All reviewed manuscripts demonstrate rigorous proof structures and adherence to mathematical logic.</w:t>
      </w:r>
    </w:p>
    <w:p>
      <w:pPr>
        <w:numPr>
          <w:ilvl w:val="0"/>
          <w:numId w:val="1001"/>
        </w:numPr>
        <w:pStyle w:val="Compact"/>
      </w:pPr>
      <w:r>
        <w:rPr>
          <w:bCs/>
          <w:b/>
        </w:rPr>
        <w:t xml:space="preserve">Relevance:</w:t>
      </w:r>
      <w:r>
        <w:t xml:space="preserve"> </w:t>
      </w:r>
      <w:r>
        <w:t xml:space="preserve">The research addresses challenges pertinent to the region, such as resource optimization and data analysis, contributing to the scientific prestige of</w:t>
      </w:r>
      <w:r>
        <w:t xml:space="preserve"> </w:t>
      </w:r>
      <w:r>
        <w:rPr>
          <w:bCs/>
          <w:b/>
        </w:rPr>
        <w:t xml:space="preserve">Uzbekistan</w:t>
      </w:r>
      <w:r>
        <w:t xml:space="preserve">.</w:t>
      </w:r>
    </w:p>
    <w:bookmarkEnd w:id="22"/>
    <w:bookmarkStart w:id="23" w:name="X848603539a23edf3f86d35717940144796bbaab"/>
    <w:p>
      <w:pPr>
        <w:pStyle w:val="Heading2"/>
      </w:pPr>
      <w:r>
        <w:t xml:space="preserve">3. Contribution to the Academic Community in Tashkent</w:t>
      </w:r>
    </w:p>
    <w:p>
      <w:pPr>
        <w:pStyle w:val="FirstParagraph"/>
      </w:pPr>
      <w:r>
        <w:t xml:space="preserve">A critical aspect of this</w:t>
      </w:r>
      <w:r>
        <w:t xml:space="preserve"> </w:t>
      </w:r>
      <w:r>
        <w:rPr>
          <w:bCs/>
          <w:b/>
        </w:rPr>
        <w:t xml:space="preserve">Peer Review Report</w:t>
      </w:r>
      <w:r>
        <w:t xml:space="preserve"> </w:t>
      </w:r>
      <w:r>
        <w:t xml:space="preserve">is the evaluation of the candidate's role within the local academic environment.</w:t>
      </w:r>
      <w:r>
        <w:t xml:space="preserve"> </w:t>
      </w:r>
      <w:r>
        <w:rPr>
          <w:bCs/>
          <w:b/>
        </w:rPr>
        <w:t xml:space="preserve">Tashkent</w:t>
      </w:r>
      <w:r>
        <w:t xml:space="preserve"> </w:t>
      </w:r>
      <w:r>
        <w:t xml:space="preserve">hosts several prestigious institutions, including the Institute of Mathematics of the Academy of Sciences of Uzbekistan. The candidate has been an active participant in these ecosystems, serving as a bridge between traditional mathematical scholarship and modern computational approaches.</w:t>
      </w:r>
    </w:p>
    <w:p>
      <w:pPr>
        <w:pStyle w:val="BodyText"/>
      </w:pPr>
      <w:r>
        <w:t xml:space="preserve">The</w:t>
      </w:r>
      <w:r>
        <w:t xml:space="preserve"> </w:t>
      </w:r>
      <w:r>
        <w:rPr>
          <w:bCs/>
          <w:b/>
        </w:rPr>
        <w:t xml:space="preserve">Mathematician</w:t>
      </w:r>
      <w:r>
        <w:t xml:space="preserve"> </w:t>
      </w:r>
      <w:r>
        <w:t xml:space="preserve">has been instrumental in organizing seminars and workshops that bring together local scholars and international experts. This activity is vital for the intellectual development of the scientific community in</w:t>
      </w:r>
      <w:r>
        <w:t xml:space="preserve"> </w:t>
      </w:r>
      <w:r>
        <w:rPr>
          <w:bCs/>
          <w:b/>
        </w:rPr>
        <w:t xml:space="preserve">Uzbekistan</w:t>
      </w:r>
      <w:r>
        <w:t xml:space="preserve">. Furthermore, the candidate has mentored numerous graduate students, many of whom have gone on to secure positions in academia and industry across the region. This mentorship reflects a deep commitment to the educational mission of the university and the broader goal of human capital development in the country.</w:t>
      </w:r>
    </w:p>
    <w:bookmarkEnd w:id="23"/>
    <w:bookmarkStart w:id="24" w:name="teaching-and-educational-impact"/>
    <w:p>
      <w:pPr>
        <w:pStyle w:val="Heading2"/>
      </w:pPr>
      <w:r>
        <w:t xml:space="preserve">4. Teaching and Educational Impact</w:t>
      </w:r>
    </w:p>
    <w:p>
      <w:pPr>
        <w:pStyle w:val="FirstParagraph"/>
      </w:pPr>
      <w:r>
        <w:t xml:space="preserve">The evaluation of the</w:t>
      </w:r>
      <w:r>
        <w:t xml:space="preserve"> </w:t>
      </w:r>
      <w:r>
        <w:rPr>
          <w:bCs/>
          <w:b/>
        </w:rPr>
        <w:t xml:space="preserve">Mathematician</w:t>
      </w:r>
      <w:r>
        <w:t xml:space="preserve">'s teaching performance reveals a highly effective pedagogical approach. Student feedback collected from various departments in</w:t>
      </w:r>
      <w:r>
        <w:t xml:space="preserve"> </w:t>
      </w:r>
      <w:r>
        <w:rPr>
          <w:bCs/>
          <w:b/>
        </w:rPr>
        <w:t xml:space="preserve">Tashkent</w:t>
      </w:r>
      <w:r>
        <w:t xml:space="preserve"> </w:t>
      </w:r>
      <w:r>
        <w:t xml:space="preserve">indicates that the candidate is able to convey complex abstract concepts with clarity and precision. The curriculum developed by the candidate integrates modern mathematical software and tools, preparing students for the demands of the contemporary workforce.</w:t>
      </w:r>
    </w:p>
    <w:p>
      <w:pPr>
        <w:pStyle w:val="BodyText"/>
      </w:pPr>
      <w:r>
        <w:t xml:space="preserve">In the context of</w:t>
      </w:r>
      <w:r>
        <w:t xml:space="preserve"> </w:t>
      </w:r>
      <w:r>
        <w:rPr>
          <w:bCs/>
          <w:b/>
        </w:rPr>
        <w:t xml:space="preserve">Uzbekistan</w:t>
      </w:r>
      <w:r>
        <w:t xml:space="preserve">'s ongoing educational reforms, the candidate's emphasis on critical thinking and problem-solving is particularly valuable. The</w:t>
      </w:r>
      <w:r>
        <w:t xml:space="preserve"> </w:t>
      </w:r>
      <w:r>
        <w:rPr>
          <w:bCs/>
          <w:b/>
        </w:rPr>
        <w:t xml:space="preserve">Peer Review Report</w:t>
      </w:r>
      <w:r>
        <w:t xml:space="preserve"> </w:t>
      </w:r>
      <w:r>
        <w:t xml:space="preserve">highlights that the candidate does not merely teach formulas but fosters a deep understanding of mathematical structures, which is essential for producing high-quality researchers and engineers.</w:t>
      </w:r>
    </w:p>
    <w:bookmarkEnd w:id="24"/>
    <w:bookmarkStart w:id="25" w:name="X5405d4d17a0ed6e2769072984b7e58c5ee0c378"/>
    <w:p>
      <w:pPr>
        <w:pStyle w:val="Heading2"/>
      </w:pPr>
      <w:r>
        <w:t xml:space="preserve">5. Collaboration and International Engagement</w:t>
      </w:r>
    </w:p>
    <w:p>
      <w:pPr>
        <w:pStyle w:val="FirstParagraph"/>
      </w:pPr>
      <w:r>
        <w:t xml:space="preserve">The</w:t>
      </w:r>
      <w:r>
        <w:t xml:space="preserve"> </w:t>
      </w:r>
      <w:r>
        <w:rPr>
          <w:bCs/>
          <w:b/>
        </w:rPr>
        <w:t xml:space="preserve">Mathematician</w:t>
      </w:r>
      <w:r>
        <w:t xml:space="preserve"> </w:t>
      </w:r>
      <w:r>
        <w:t xml:space="preserve">has successfully established collaborative networks with researchers from Europe, Asia, and North America. These collaborations have resulted in joint publications and shared grant opportunities, which are crucial for the advancement of science in</w:t>
      </w:r>
      <w:r>
        <w:t xml:space="preserve"> </w:t>
      </w:r>
      <w:r>
        <w:rPr>
          <w:bCs/>
          <w:b/>
        </w:rPr>
        <w:t xml:space="preserve">Uzbekistan</w:t>
      </w:r>
      <w:r>
        <w:t xml:space="preserve">. By maintaining these international links, the candidate ensures that the research conducted in</w:t>
      </w:r>
      <w:r>
        <w:t xml:space="preserve"> </w:t>
      </w:r>
      <w:r>
        <w:rPr>
          <w:bCs/>
          <w:b/>
        </w:rPr>
        <w:t xml:space="preserve">Tashkent</w:t>
      </w:r>
      <w:r>
        <w:t xml:space="preserve"> </w:t>
      </w:r>
      <w:r>
        <w:t xml:space="preserve">remains at the forefront of global mathematical discourse.</w:t>
      </w:r>
    </w:p>
    <w:p>
      <w:pPr>
        <w:pStyle w:val="BodyText"/>
      </w:pPr>
      <w:r>
        <w:t xml:space="preserve">The review panel commends the candidate for their ability to navigate the complexities of international academic cooperation while remaining deeply rooted in the local context. This dual perspective is an asset to any institution in</w:t>
      </w:r>
      <w:r>
        <w:t xml:space="preserve"> </w:t>
      </w:r>
      <w:r>
        <w:rPr>
          <w:bCs/>
          <w:b/>
        </w:rPr>
        <w:t xml:space="preserve">Tashkent</w:t>
      </w:r>
      <w:r>
        <w:t xml:space="preserve"> </w:t>
      </w:r>
      <w:r>
        <w:t xml:space="preserve">seeking to elevate its global ranking and research output.</w:t>
      </w:r>
    </w:p>
    <w:bookmarkEnd w:id="25"/>
    <w:bookmarkStart w:id="26"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Mathematician</w:t>
      </w:r>
      <w:r>
        <w:t xml:space="preserve"> </w:t>
      </w:r>
      <w:r>
        <w:t xml:space="preserve">could further enhance their impact:</w:t>
      </w:r>
    </w:p>
    <w:p>
      <w:pPr>
        <w:numPr>
          <w:ilvl w:val="0"/>
          <w:numId w:val="1002"/>
        </w:numPr>
        <w:pStyle w:val="Compact"/>
      </w:pPr>
      <w:r>
        <w:rPr>
          <w:bCs/>
          <w:b/>
        </w:rPr>
        <w:t xml:space="preserve">Interdisciplinary Collaboration:</w:t>
      </w:r>
      <w:r>
        <w:t xml:space="preserve"> </w:t>
      </w:r>
      <w:r>
        <w:t xml:space="preserve">Increasing engagement with fields such as computer science, physics, and economics could broaden the applicability of the candidate's mathematical models within the Uzbek economy.</w:t>
      </w:r>
    </w:p>
    <w:p>
      <w:pPr>
        <w:numPr>
          <w:ilvl w:val="0"/>
          <w:numId w:val="1002"/>
        </w:numPr>
        <w:pStyle w:val="Compact"/>
      </w:pPr>
      <w:r>
        <w:rPr>
          <w:bCs/>
          <w:b/>
        </w:rPr>
        <w:t xml:space="preserve">Public Outreach:</w:t>
      </w:r>
      <w:r>
        <w:t xml:space="preserve"> </w:t>
      </w:r>
      <w:r>
        <w:t xml:space="preserve">Greater efforts to communicate the importance of mathematics to the general public in</w:t>
      </w:r>
      <w:r>
        <w:t xml:space="preserve"> </w:t>
      </w:r>
      <w:r>
        <w:rPr>
          <w:bCs/>
          <w:b/>
        </w:rPr>
        <w:t xml:space="preserve">Uzbekistan</w:t>
      </w:r>
      <w:r>
        <w:t xml:space="preserve"> </w:t>
      </w:r>
      <w:r>
        <w:t xml:space="preserve">would help foster a stronger culture of scientific appreciation.</w:t>
      </w:r>
    </w:p>
    <w:p>
      <w:pPr>
        <w:numPr>
          <w:ilvl w:val="0"/>
          <w:numId w:val="1002"/>
        </w:numPr>
        <w:pStyle w:val="Compact"/>
      </w:pPr>
      <w:r>
        <w:rPr>
          <w:bCs/>
          <w:b/>
        </w:rPr>
        <w:t xml:space="preserve">Grant Leadership:</w:t>
      </w:r>
      <w:r>
        <w:t xml:space="preserve"> </w:t>
      </w:r>
      <w:r>
        <w:t xml:space="preserve">The candidate is encouraged to take a more leading role in securing large-scale national and international grants to support the infrastructure of research in</w:t>
      </w:r>
      <w:r>
        <w:t xml:space="preserve"> </w:t>
      </w:r>
      <w:r>
        <w:rPr>
          <w:bCs/>
          <w:b/>
        </w:rPr>
        <w:t xml:space="preserve">Tashkent</w:t>
      </w:r>
      <w:r>
        <w:t xml:space="preserve">.</w:t>
      </w:r>
    </w:p>
    <w:bookmarkEnd w:id="26"/>
    <w:bookmarkStart w:id="28" w:name="final-recommendation-and-scoring"/>
    <w:p>
      <w:pPr>
        <w:pStyle w:val="Heading2"/>
      </w:pPr>
      <w:r>
        <w:t xml:space="preserve">7. Final Recommendation and Scoring</w:t>
      </w:r>
    </w:p>
    <w:p>
      <w:pPr>
        <w:pStyle w:val="FirstParagraph"/>
      </w:pPr>
      <w:r>
        <w:t xml:space="preserve">Based on the comprehensive analysis presented in this</w:t>
      </w:r>
      <w:r>
        <w:t xml:space="preserve"> </w:t>
      </w:r>
      <w:r>
        <w:rPr>
          <w:bCs/>
          <w:b/>
        </w:rPr>
        <w:t xml:space="preserve">Peer Review Report</w:t>
      </w:r>
      <w:r>
        <w:t xml:space="preserve">, the panel unanimously recommends the</w:t>
      </w:r>
      <w:r>
        <w:t xml:space="preserve"> </w:t>
      </w:r>
      <w:r>
        <w:rPr>
          <w:bCs/>
          <w:b/>
        </w:rPr>
        <w:t xml:space="preserve">Mathematician</w:t>
      </w:r>
      <w:r>
        <w:t xml:space="preserve"> </w:t>
      </w:r>
      <w:r>
        <w:t xml:space="preserve">for continued support, tenure, and leadership opportunities. The candidate's contributions to the field of mathematics, their dedication to education, and their positive impact on the scientific community in</w:t>
      </w:r>
      <w:r>
        <w:t xml:space="preserve"> </w:t>
      </w:r>
      <w:r>
        <w:rPr>
          <w:bCs/>
          <w:b/>
        </w:rPr>
        <w:t xml:space="preserve">Uzbekistan, Tashkent</w:t>
      </w:r>
      <w:r>
        <w:t xml:space="preserve">, are exemplary.</w:t>
      </w:r>
    </w:p>
    <w:bookmarkStart w:id="27" w:name="evaluation-scores-scale-1-10"/>
    <w:p>
      <w:pPr>
        <w:pStyle w:val="Heading3"/>
      </w:pPr>
      <w:r>
        <w:t xml:space="preserve">Evaluation Scores (Scale 1-10)</w:t>
      </w:r>
    </w:p>
    <w:p>
      <w:pPr>
        <w:pStyle w:val="FirstParagraph"/>
      </w:pPr>
      <w:r>
        <w:t xml:space="preserve">Research Quality and Innovation:</w:t>
      </w:r>
      <w:r>
        <w:t xml:space="preserve"> </w:t>
      </w:r>
      <w:r>
        <w:t xml:space="preserve">9.5</w:t>
      </w:r>
    </w:p>
    <w:p>
      <w:pPr>
        <w:pStyle w:val="BodyText"/>
      </w:pPr>
      <w:r>
        <w:t xml:space="preserve">Teaching Effectiveness:</w:t>
      </w:r>
      <w:r>
        <w:t xml:space="preserve"> </w:t>
      </w:r>
      <w:r>
        <w:t xml:space="preserve">9.0</w:t>
      </w:r>
    </w:p>
    <w:p>
      <w:pPr>
        <w:pStyle w:val="BodyText"/>
      </w:pPr>
      <w:r>
        <w:t xml:space="preserve">Contribution to Tashkent Academic Community:</w:t>
      </w:r>
      <w:r>
        <w:t xml:space="preserve"> </w:t>
      </w:r>
      <w:r>
        <w:t xml:space="preserve">9.2</w:t>
      </w:r>
    </w:p>
    <w:p>
      <w:pPr>
        <w:pStyle w:val="BodyText"/>
      </w:pPr>
      <w:r>
        <w:t xml:space="preserve">International Collaboration:</w:t>
      </w:r>
      <w:r>
        <w:t xml:space="preserve"> </w:t>
      </w:r>
      <w:r>
        <w:t xml:space="preserve">8.8</w:t>
      </w:r>
    </w:p>
    <w:p>
      <w:pPr>
        <w:pStyle w:val="BodyText"/>
      </w:pPr>
      <w:r>
        <w:t xml:space="preserve">Overall Professional Competence:</w:t>
      </w:r>
      <w:r>
        <w:t xml:space="preserve"> </w:t>
      </w:r>
      <w:r>
        <w:t xml:space="preserve">9.1</w:t>
      </w:r>
    </w:p>
    <w:bookmarkEnd w:id="27"/>
    <w:p>
      <w:pPr>
        <w:pStyle w:val="BodyText"/>
      </w:pPr>
      <w:r>
        <w:t xml:space="preserve">This report serves as an official document of the peer review process and is intended to guide future academic and administrative decisions regarding the</w:t>
      </w:r>
      <w:r>
        <w:t xml:space="preserve"> </w:t>
      </w:r>
      <w:r>
        <w:rPr>
          <w:bCs/>
          <w:b/>
        </w:rPr>
        <w:t xml:space="preserve">Mathematician</w:t>
      </w:r>
      <w:r>
        <w:t xml:space="preserve">'s career progression within the institutions of</w:t>
      </w:r>
      <w:r>
        <w:t xml:space="preserve"> </w:t>
      </w:r>
      <w:r>
        <w:rPr>
          <w:bCs/>
          <w:b/>
        </w:rPr>
        <w:t xml:space="preserve">Uzbekistan</w:t>
      </w:r>
      <w:r>
        <w:t xml:space="preserve">.</w:t>
      </w:r>
    </w:p>
    <w:p>
      <w:pPr>
        <w:pStyle w:val="BodyText"/>
      </w:pPr>
      <w:r>
        <w:rPr>
          <w:bCs/>
          <w:b/>
        </w:rPr>
        <w:t xml:space="preserve">Prepared by:</w:t>
      </w:r>
      <w:r>
        <w:t xml:space="preserve"> </w:t>
      </w:r>
      <w:r>
        <w:t xml:space="preserve">The Independent Peer Review Committee</w:t>
      </w:r>
      <w:r>
        <w:br/>
      </w:r>
      <w:r>
        <w:rPr>
          <w:bCs/>
          <w:b/>
        </w:rPr>
        <w:t xml:space="preserve">Affiliation:</w:t>
      </w:r>
      <w:r>
        <w:t xml:space="preserve"> </w:t>
      </w:r>
      <w:r>
        <w:t xml:space="preserve">Scientific Council for Mathematics, Tashkent, Uzbekistan</w:t>
      </w:r>
      <w:r>
        <w:br/>
      </w:r>
      <w:r>
        <w:rPr>
          <w:bCs/>
          <w:b/>
        </w:rPr>
        <w:t xml:space="preserve">Document ID:</w:t>
      </w:r>
      <w:r>
        <w:t xml:space="preserve"> </w:t>
      </w:r>
      <w:r>
        <w:t xml:space="preserve">PR-MATH-TSK-2023-089</w:t>
      </w:r>
      <w:r>
        <w:br/>
      </w:r>
      <w:r>
        <w:rPr>
          <w:iCs/>
          <w:i/>
        </w:rPr>
        <w:t xml:space="preserve">This document is confidential and intended solely for the use of the authorized recipients.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Evaluation</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