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21" w:name="peer-review-report"/>
    <w:p>
      <w:pPr>
        <w:pStyle w:val="Heading1"/>
      </w:pPr>
      <w:r>
        <w:t xml:space="preserve">Peer Review Report</w:t>
      </w:r>
    </w:p>
    <w:bookmarkStart w:id="20" w:name="Xfcc1eaa6a257dfbb396c6a09fc4cc3fd1238fef"/>
    <w:p>
      <w:pPr>
        <w:pStyle w:val="Heading2"/>
      </w:pPr>
      <w:r>
        <w:t xml:space="preserve">Subject: Mechanic Performance and Operational Standards</w:t>
      </w:r>
    </w:p>
    <w:p>
      <w:pPr>
        <w:pStyle w:val="FirstParagraph"/>
      </w:pPr>
      <w:r>
        <w:rPr>
          <w:bCs/>
          <w:b/>
        </w:rPr>
        <w:t xml:space="preserve">Location:</w:t>
      </w:r>
      <w:r>
        <w:t xml:space="preserve"> </w:t>
      </w:r>
      <w:r>
        <w:t xml:space="preserve">China Shanghai</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End w:id="21"/>
    <w:bookmarkStart w:id="22" w:name="executive-summary"/>
    <w:p>
      <w:pPr>
        <w:pStyle w:val="Heading2"/>
      </w:pPr>
      <w:r>
        <w:t xml:space="preserve">1. Executive Summary</w:t>
      </w:r>
    </w:p>
    <w:p>
      <w:pPr>
        <w:pStyle w:val="FirstParagraph"/>
      </w:pPr>
      <w:r>
        <w:t xml:space="preserve">This Peer Review Report evaluates the performance, technical proficiency, and operational compliance of mechanics operating within the automotive and industrial sectors in China Shanghai. The review focuses on adherence to international standards, local regulations, and the integration of advanced technologies prevalent in Shanghai's rapidly evolving industrial landscape. The findings highlight both strengths and areas for improvement, providing actionable recommendations to enhance service quality and safety.</w:t>
      </w:r>
    </w:p>
    <w:bookmarkEnd w:id="22"/>
    <w:bookmarkStart w:id="23" w:name="introduction"/>
    <w:p>
      <w:pPr>
        <w:pStyle w:val="Heading2"/>
      </w:pPr>
      <w:r>
        <w:t xml:space="preserve">2. Introduction</w:t>
      </w:r>
    </w:p>
    <w:p>
      <w:pPr>
        <w:pStyle w:val="FirstParagraph"/>
      </w:pPr>
      <w:r>
        <w:t xml:space="preserve">China Shanghai is a global hub for automotive manufacturing, logistics, and technological innovation. As such, the role of a mechanic in this region is critical to maintaining operational efficiency, ensuring safety, and supporting the city's economic growth. This report assesses the current state of mechanic practices in Shanghai, considering factors such as technical skills, regulatory compliance, use of diagnostic tools, and customer service standards.</w:t>
      </w:r>
    </w:p>
    <w:p>
      <w:pPr>
        <w:pStyle w:val="BodyText"/>
      </w:pPr>
      <w:r>
        <w:t xml:space="preserve">The review was conducted through site visits, interviews with mechanics and supervisors, analysis of service records, and benchmarking against industry best practices. The goal is to provide a comprehensive evaluation that supports continuous improvement and aligns with Shanghai's vision for a smart, sustainable, and high-performance industrial ecosystem.</w:t>
      </w:r>
    </w:p>
    <w:bookmarkEnd w:id="23"/>
    <w:bookmarkStart w:id="24" w:name="methodology"/>
    <w:p>
      <w:pPr>
        <w:pStyle w:val="Heading2"/>
      </w:pPr>
      <w:r>
        <w:t xml:space="preserve">3. Methodology</w:t>
      </w:r>
    </w:p>
    <w:p>
      <w:pPr>
        <w:pStyle w:val="FirstParagraph"/>
      </w:pPr>
      <w:r>
        <w:t xml:space="preserve">The Peer Review Report was developed using a structured approach that included:</w:t>
      </w:r>
    </w:p>
    <w:p>
      <w:pPr>
        <w:numPr>
          <w:ilvl w:val="0"/>
          <w:numId w:val="1001"/>
        </w:numPr>
        <w:pStyle w:val="Compact"/>
      </w:pPr>
      <w:r>
        <w:t xml:space="preserve">On-site inspections of workshops and service centers across Shanghai.</w:t>
      </w:r>
    </w:p>
    <w:p>
      <w:pPr>
        <w:numPr>
          <w:ilvl w:val="0"/>
          <w:numId w:val="1001"/>
        </w:numPr>
        <w:pStyle w:val="Compact"/>
      </w:pPr>
      <w:r>
        <w:t xml:space="preserve">Interviews with mechanics, team leaders, and quality assurance personnel.</w:t>
      </w:r>
    </w:p>
    <w:p>
      <w:pPr>
        <w:numPr>
          <w:ilvl w:val="0"/>
          <w:numId w:val="1001"/>
        </w:numPr>
        <w:pStyle w:val="Compact"/>
      </w:pPr>
      <w:r>
        <w:t xml:space="preserve">Review of maintenance logs, safety records, and customer feedback.</w:t>
      </w:r>
    </w:p>
    <w:p>
      <w:pPr>
        <w:numPr>
          <w:ilvl w:val="0"/>
          <w:numId w:val="1001"/>
        </w:numPr>
        <w:pStyle w:val="Compact"/>
      </w:pPr>
      <w:r>
        <w:t xml:space="preserve">Comparison with international standards (ISO, OSHA) and local Chinese regulations.</w:t>
      </w:r>
    </w:p>
    <w:p>
      <w:pPr>
        <w:numPr>
          <w:ilvl w:val="0"/>
          <w:numId w:val="1001"/>
        </w:numPr>
        <w:pStyle w:val="Compact"/>
      </w:pPr>
      <w:r>
        <w:t xml:space="preserve">Assessment of training programs and certification processes for mechanics.</w:t>
      </w:r>
    </w:p>
    <w:p>
      <w:pPr>
        <w:pStyle w:val="FirstParagraph"/>
      </w:pPr>
      <w:r>
        <w:t xml:space="preserve">Data was collected from a diverse sample of facilities, including automotive repair shops, fleet maintenance centers, and industrial equipment service providers.</w:t>
      </w:r>
    </w:p>
    <w:bookmarkEnd w:id="24"/>
    <w:bookmarkStart w:id="29" w:name="key-findings"/>
    <w:p>
      <w:pPr>
        <w:pStyle w:val="Heading2"/>
      </w:pPr>
      <w:r>
        <w:t xml:space="preserve">4. Key Findings</w:t>
      </w:r>
    </w:p>
    <w:bookmarkStart w:id="25" w:name="technical-proficiency"/>
    <w:p>
      <w:pPr>
        <w:pStyle w:val="Heading3"/>
      </w:pPr>
      <w:r>
        <w:t xml:space="preserve">4.1 Technical Proficiency</w:t>
      </w:r>
    </w:p>
    <w:p>
      <w:pPr>
        <w:pStyle w:val="FirstParagraph"/>
      </w:pPr>
      <w:r>
        <w:t xml:space="preserve">Mechanics in China Shanghai demonstrate a high level of technical proficiency, particularly in the maintenance of electric vehicles (EVs) and hybrid systems. The city's strong focus on green technology has led to widespread adoption of advanced diagnostic tools and training programs. However, variability in skill levels was observed, with some mechanics lacking in-depth knowledge of legacy systems or specialized industrial machinery.</w:t>
      </w:r>
    </w:p>
    <w:bookmarkEnd w:id="25"/>
    <w:bookmarkStart w:id="26" w:name="regulatory-compliance"/>
    <w:p>
      <w:pPr>
        <w:pStyle w:val="Heading3"/>
      </w:pPr>
      <w:r>
        <w:t xml:space="preserve">4.2 Regulatory Compliance</w:t>
      </w:r>
    </w:p>
    <w:p>
      <w:pPr>
        <w:pStyle w:val="FirstParagraph"/>
      </w:pPr>
      <w:r>
        <w:t xml:space="preserve">Compliance with local regulations in China Shanghai is generally strong, with most facilities adhering to environmental and safety standards. Proper disposal of hazardous materials, use of personal protective equipment (PPE), and adherence to emission control guidelines are well-documented. Nevertheless, occasional lapses in record-keeping and documentation were noted, which could pose risks during audits or inspections.</w:t>
      </w:r>
    </w:p>
    <w:bookmarkEnd w:id="26"/>
    <w:bookmarkStart w:id="27" w:name="use-of-technology"/>
    <w:p>
      <w:pPr>
        <w:pStyle w:val="Heading3"/>
      </w:pPr>
      <w:r>
        <w:t xml:space="preserve">4.3 Use of Technology</w:t>
      </w:r>
    </w:p>
    <w:p>
      <w:pPr>
        <w:pStyle w:val="FirstParagraph"/>
      </w:pPr>
      <w:r>
        <w:t xml:space="preserve">Shanghai's mechanics are increasingly leveraging digital tools, including AI-driven diagnostics, IoT-enabled monitoring systems, and cloud-based maintenance management platforms. This technological integration enhances efficiency and accuracy but requires ongoing training to ensure optimal use. Some smaller workshops lag behind in adopting these innovations due to cost constraints.</w:t>
      </w:r>
    </w:p>
    <w:bookmarkEnd w:id="27"/>
    <w:bookmarkStart w:id="28" w:name="customer-service-and-communication"/>
    <w:p>
      <w:pPr>
        <w:pStyle w:val="Heading3"/>
      </w:pPr>
      <w:r>
        <w:t xml:space="preserve">4.4 Customer Service and Communication</w:t>
      </w:r>
    </w:p>
    <w:p>
      <w:pPr>
        <w:pStyle w:val="FirstParagraph"/>
      </w:pPr>
      <w:r>
        <w:t xml:space="preserve">Customer service standards vary across facilities. Larger, well-established centers in China Shanghai excel in communication, transparency, and service delivery. In contrast, smaller operations sometimes struggle with language barriers, inconsistent pricing, and limited follow-up support. Improving customer engagement is essential for building trust and loyalty in a competitive market.</w:t>
      </w:r>
    </w:p>
    <w:bookmarkEnd w:id="28"/>
    <w:bookmarkEnd w:id="29"/>
    <w:bookmarkStart w:id="30" w:name="strengths"/>
    <w:p>
      <w:pPr>
        <w:pStyle w:val="Heading2"/>
      </w:pPr>
      <w:r>
        <w:t xml:space="preserve">5. Strengths</w:t>
      </w:r>
    </w:p>
    <w:p>
      <w:pPr>
        <w:numPr>
          <w:ilvl w:val="0"/>
          <w:numId w:val="1002"/>
        </w:numPr>
        <w:pStyle w:val="Compact"/>
      </w:pPr>
      <w:r>
        <w:t xml:space="preserve">High adoption of EV and hybrid vehicle maintenance practices.</w:t>
      </w:r>
    </w:p>
    <w:p>
      <w:pPr>
        <w:numPr>
          <w:ilvl w:val="0"/>
          <w:numId w:val="1002"/>
        </w:numPr>
        <w:pStyle w:val="Compact"/>
      </w:pPr>
      <w:r>
        <w:t xml:space="preserve">Strong regulatory framework and general compliance in China Shanghai.</w:t>
      </w:r>
    </w:p>
    <w:p>
      <w:pPr>
        <w:numPr>
          <w:ilvl w:val="0"/>
          <w:numId w:val="1002"/>
        </w:numPr>
        <w:pStyle w:val="Compact"/>
      </w:pPr>
      <w:r>
        <w:t xml:space="preserve">Integration of advanced diagnostic and monitoring technologies.</w:t>
      </w:r>
    </w:p>
    <w:p>
      <w:pPr>
        <w:numPr>
          <w:ilvl w:val="0"/>
          <w:numId w:val="1002"/>
        </w:numPr>
        <w:pStyle w:val="Compact"/>
      </w:pPr>
      <w:r>
        <w:t xml:space="preserve">Access to comprehensive training programs and certification pathways.</w:t>
      </w:r>
    </w:p>
    <w:bookmarkEnd w:id="30"/>
    <w:bookmarkStart w:id="31" w:name="areas-for-improvement"/>
    <w:p>
      <w:pPr>
        <w:pStyle w:val="Heading2"/>
      </w:pPr>
      <w:r>
        <w:t xml:space="preserve">6. Areas for Improvement</w:t>
      </w:r>
    </w:p>
    <w:p>
      <w:pPr>
        <w:numPr>
          <w:ilvl w:val="0"/>
          <w:numId w:val="1003"/>
        </w:numPr>
        <w:pStyle w:val="Compact"/>
      </w:pPr>
      <w:r>
        <w:t xml:space="preserve">Standardization of skill levels across all mechanic tiers.</w:t>
      </w:r>
    </w:p>
    <w:p>
      <w:pPr>
        <w:numPr>
          <w:ilvl w:val="0"/>
          <w:numId w:val="1003"/>
        </w:numPr>
        <w:pStyle w:val="Compact"/>
      </w:pPr>
      <w:r>
        <w:t xml:space="preserve">Enhanced documentation and record-keeping practices.</w:t>
      </w:r>
    </w:p>
    <w:p>
      <w:pPr>
        <w:numPr>
          <w:ilvl w:val="0"/>
          <w:numId w:val="1003"/>
        </w:numPr>
        <w:pStyle w:val="Compact"/>
      </w:pPr>
      <w:r>
        <w:t xml:space="preserve">Greater investment in technology for smaller workshops.</w:t>
      </w:r>
    </w:p>
    <w:p>
      <w:pPr>
        <w:numPr>
          <w:ilvl w:val="0"/>
          <w:numId w:val="1003"/>
        </w:numPr>
        <w:pStyle w:val="Compact"/>
      </w:pPr>
      <w:r>
        <w:t xml:space="preserve">Improved customer communication and service consistency.</w:t>
      </w:r>
    </w:p>
    <w:bookmarkEnd w:id="31"/>
    <w:bookmarkStart w:id="32" w:name="recommendations"/>
    <w:p>
      <w:pPr>
        <w:pStyle w:val="Heading2"/>
      </w:pPr>
      <w:r>
        <w:t xml:space="preserve">7. Recommendations</w:t>
      </w:r>
    </w:p>
    <w:p>
      <w:pPr>
        <w:pStyle w:val="FirstParagraph"/>
      </w:pPr>
      <w:r>
        <w:t xml:space="preserve">To address the identified gaps and further elevate the performance of mechanics in China Shanghai, the following actions are recommended:</w:t>
      </w:r>
    </w:p>
    <w:p>
      <w:pPr>
        <w:numPr>
          <w:ilvl w:val="0"/>
          <w:numId w:val="1004"/>
        </w:numPr>
        <w:pStyle w:val="Compact"/>
      </w:pPr>
      <w:r>
        <w:t xml:space="preserve">Implement mandatory continuing education programs focused on emerging technologies and legacy system maintenance.</w:t>
      </w:r>
    </w:p>
    <w:p>
      <w:pPr>
        <w:numPr>
          <w:ilvl w:val="0"/>
          <w:numId w:val="1004"/>
        </w:numPr>
        <w:pStyle w:val="Compact"/>
      </w:pPr>
      <w:r>
        <w:t xml:space="preserve">Introduce standardized documentation templates and digital record-keeping systems to ensure compliance and traceability.</w:t>
      </w:r>
    </w:p>
    <w:p>
      <w:pPr>
        <w:numPr>
          <w:ilvl w:val="0"/>
          <w:numId w:val="1004"/>
        </w:numPr>
        <w:pStyle w:val="Compact"/>
      </w:pPr>
      <w:r>
        <w:t xml:space="preserve">Provide financial incentives or subsidies for smaller workshops to adopt advanced diagnostic tools and software.</w:t>
      </w:r>
    </w:p>
    <w:p>
      <w:pPr>
        <w:numPr>
          <w:ilvl w:val="0"/>
          <w:numId w:val="1004"/>
        </w:numPr>
        <w:pStyle w:val="Compact"/>
      </w:pPr>
      <w:r>
        <w:t xml:space="preserve">Develop customer service training modules that emphasize clear communication, transparency, and post-service support.</w:t>
      </w:r>
    </w:p>
    <w:p>
      <w:pPr>
        <w:numPr>
          <w:ilvl w:val="0"/>
          <w:numId w:val="1004"/>
        </w:numPr>
        <w:pStyle w:val="Compact"/>
      </w:pPr>
      <w:r>
        <w:t xml:space="preserve">Establish a peer mentoring network among mechanics to facilitate knowledge sharing and best practice dissemination.</w:t>
      </w:r>
    </w:p>
    <w:bookmarkEnd w:id="32"/>
    <w:bookmarkStart w:id="33" w:name="conclusion"/>
    <w:p>
      <w:pPr>
        <w:pStyle w:val="Heading2"/>
      </w:pPr>
      <w:r>
        <w:t xml:space="preserve">8. Conclusion</w:t>
      </w:r>
    </w:p>
    <w:p>
      <w:pPr>
        <w:pStyle w:val="FirstParagraph"/>
      </w:pPr>
      <w:r>
        <w:t xml:space="preserve">This Peer Review Report underscores the critical role of mechanics in sustaining the operational excellence of China Shanghai's automotive and industrial sectors. While significant progress has been made in technical proficiency, regulatory compliance, and technological adoption, there remains room for improvement in standardization, documentation, and customer engagement. By implementing the recommended actions, stakeholders can ensure that mechanics in Shanghai continue to meet the highest standards of performance, safety, and service quality, supporting the city's position as a global leader in innovation and sustainability.</w:t>
      </w:r>
    </w:p>
    <w:bookmarkEnd w:id="33"/>
    <w:bookmarkStart w:id="35" w:name="appendices"/>
    <w:p>
      <w:pPr>
        <w:pStyle w:val="Heading2"/>
      </w:pPr>
      <w:r>
        <w:t xml:space="preserve">9. Appendices</w:t>
      </w:r>
    </w:p>
    <w:bookmarkStart w:id="34" w:name="appendix-a-evaluation-criteria"/>
    <w:p>
      <w:pPr>
        <w:pStyle w:val="Heading3"/>
      </w:pPr>
      <w:r>
        <w:t xml:space="preserve">Appendix A: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Weight</w:t>
            </w:r>
          </w:p>
        </w:tc>
        <w:tc>
          <w:tcPr/>
          <w:p>
            <w:pPr>
              <w:pStyle w:val="Compact"/>
              <w:jc w:val="left"/>
            </w:pPr>
            <w:r>
              <w:t xml:space="preserve">Assessment Method</w:t>
            </w:r>
          </w:p>
        </w:tc>
      </w:tr>
      <w:tr>
        <w:tc>
          <w:tcPr/>
          <w:p>
            <w:pPr>
              <w:pStyle w:val="Compact"/>
              <w:jc w:val="left"/>
            </w:pPr>
            <w:r>
              <w:t xml:space="preserve">Technical Proficiency</w:t>
            </w:r>
          </w:p>
        </w:tc>
        <w:tc>
          <w:tcPr/>
          <w:p>
            <w:pPr>
              <w:pStyle w:val="Compact"/>
              <w:jc w:val="left"/>
            </w:pPr>
            <w:r>
              <w:t xml:space="preserve">30%</w:t>
            </w:r>
          </w:p>
        </w:tc>
        <w:tc>
          <w:tcPr/>
          <w:p>
            <w:pPr>
              <w:pStyle w:val="Compact"/>
              <w:jc w:val="left"/>
            </w:pPr>
            <w:r>
              <w:t xml:space="preserve">Practical tests, certifications</w:t>
            </w:r>
          </w:p>
        </w:tc>
      </w:tr>
      <w:tr>
        <w:tc>
          <w:tcPr/>
          <w:p>
            <w:pPr>
              <w:pStyle w:val="Compact"/>
              <w:jc w:val="left"/>
            </w:pPr>
            <w:r>
              <w:t xml:space="preserve">Regulatory Compliance</w:t>
            </w:r>
          </w:p>
        </w:tc>
        <w:tc>
          <w:tcPr/>
          <w:p>
            <w:pPr>
              <w:pStyle w:val="Compact"/>
              <w:jc w:val="left"/>
            </w:pPr>
            <w:r>
              <w:t xml:space="preserve">25%</w:t>
            </w:r>
          </w:p>
        </w:tc>
        <w:tc>
          <w:tcPr/>
          <w:p>
            <w:pPr>
              <w:pStyle w:val="Compact"/>
              <w:jc w:val="left"/>
            </w:pPr>
            <w:r>
              <w:t xml:space="preserve">Document review, site audits</w:t>
            </w:r>
          </w:p>
        </w:tc>
      </w:tr>
      <w:tr>
        <w:tc>
          <w:tcPr/>
          <w:p>
            <w:pPr>
              <w:pStyle w:val="Compact"/>
              <w:jc w:val="left"/>
            </w:pPr>
            <w:r>
              <w:t xml:space="preserve">Technology Utilization</w:t>
            </w:r>
          </w:p>
        </w:tc>
        <w:tc>
          <w:tcPr/>
          <w:p>
            <w:pPr>
              <w:pStyle w:val="Compact"/>
              <w:jc w:val="left"/>
            </w:pPr>
            <w:r>
              <w:t xml:space="preserve">20%</w:t>
            </w:r>
          </w:p>
        </w:tc>
        <w:tc>
          <w:tcPr/>
          <w:p>
            <w:pPr>
              <w:pStyle w:val="Compact"/>
              <w:jc w:val="left"/>
            </w:pPr>
            <w:r>
              <w:t xml:space="preserve">Tool inventory, software usage</w:t>
            </w:r>
          </w:p>
        </w:tc>
      </w:tr>
      <w:tr>
        <w:tc>
          <w:tcPr/>
          <w:p>
            <w:pPr>
              <w:pStyle w:val="Compact"/>
              <w:jc w:val="left"/>
            </w:pPr>
            <w:r>
              <w:t xml:space="preserve">Customer Service</w:t>
            </w:r>
          </w:p>
        </w:tc>
        <w:tc>
          <w:tcPr/>
          <w:p>
            <w:pPr>
              <w:pStyle w:val="Compact"/>
              <w:jc w:val="left"/>
            </w:pPr>
            <w:r>
              <w:t xml:space="preserve">15%</w:t>
            </w:r>
          </w:p>
        </w:tc>
        <w:tc>
          <w:tcPr/>
          <w:p>
            <w:pPr>
              <w:pStyle w:val="Compact"/>
              <w:jc w:val="left"/>
            </w:pPr>
            <w:r>
              <w:t xml:space="preserve">Surveys, feedback analysis</w:t>
            </w:r>
          </w:p>
        </w:tc>
      </w:tr>
      <w:tr>
        <w:tc>
          <w:tcPr/>
          <w:p>
            <w:pPr>
              <w:pStyle w:val="Compact"/>
              <w:jc w:val="left"/>
            </w:pPr>
            <w:r>
              <w:t xml:space="preserve">Training &amp; Development</w:t>
            </w:r>
          </w:p>
        </w:tc>
        <w:tc>
          <w:tcPr/>
          <w:p>
            <w:pPr>
              <w:pStyle w:val="Compact"/>
              <w:jc w:val="left"/>
            </w:pPr>
            <w:r>
              <w:t xml:space="preserve">10%</w:t>
            </w:r>
          </w:p>
        </w:tc>
        <w:tc>
          <w:tcPr/>
          <w:p>
            <w:pPr>
              <w:pStyle w:val="Compact"/>
              <w:jc w:val="left"/>
            </w:pPr>
            <w:r>
              <w:t xml:space="preserve">Training records, interviews</w:t>
            </w:r>
          </w:p>
        </w:tc>
      </w:tr>
    </w:tbl>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Operations in China Shanghai</dc:title>
  <dc:creator/>
  <dc:language>en</dc:language>
  <cp:keywords/>
  <dcterms:created xsi:type="dcterms:W3CDTF">2026-10-10T02:02:43Z</dcterms:created>
  <dcterms:modified xsi:type="dcterms:W3CDTF">2026-10-10T02:02:43Z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