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r>
        <w:t xml:space="preserve"> </w:t>
      </w:r>
      <w:r>
        <w:t xml:space="preserve">-</w:t>
      </w:r>
      <w:r>
        <w:t xml:space="preserve"> </w:t>
      </w:r>
      <w:r>
        <w:t xml:space="preserve">Philippines</w:t>
      </w:r>
      <w:r>
        <w:t xml:space="preserve"> </w:t>
      </w:r>
      <w:r>
        <w:t xml:space="preserve">Manila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Professional Competence and Technical Performance</w:t>
      </w:r>
    </w:p>
    <w:p>
      <w:pPr>
        <w:pStyle w:val="BodyText"/>
      </w:pPr>
      <w:r>
        <w:rPr>
          <w:bCs/>
          <w:b/>
        </w:rPr>
        <w:t xml:space="preserve">Location:</w:t>
      </w:r>
      <w:r>
        <w:t xml:space="preserve"> </w:t>
      </w:r>
      <w:r>
        <w:t xml:space="preserve">Philippines Manila</w:t>
      </w:r>
    </w:p>
    <w:p>
      <w:pPr>
        <w:pStyle w:val="BodyText"/>
      </w:pPr>
      <w:r>
        <w:rPr>
          <w:bCs/>
          <w:b/>
        </w:rPr>
        <w:t xml:space="preserve">Date:</w:t>
      </w:r>
      <w:r>
        <w:t xml:space="preserve"> </w:t>
      </w:r>
      <w:r>
        <w:t xml:space="preserve">October 24,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competence, technical skills, and overall performance of a Mechanical Engineer operating within the Philippines Manila region. The review aims to provide a comprehensive evaluation of the engineer's adherence to industry standards, regulatory compliance, and contribution to engineering projects in the Philippines Manila area. This document is intended for use by relevant stakeholders, including professional organizations, employers, and regulatory bodies, to ensure the highest standards of engineering practice.</w:t>
      </w:r>
    </w:p>
    <w:bookmarkEnd w:id="21"/>
    <w:bookmarkStart w:id="22" w:name="background-information"/>
    <w:p>
      <w:pPr>
        <w:pStyle w:val="Heading2"/>
      </w:pPr>
      <w:r>
        <w:t xml:space="preserve">2. Background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 of Engineer</w:t>
            </w:r>
          </w:p>
        </w:tc>
        <w:tc>
          <w:tcPr/>
          <w:p>
            <w:pPr>
              <w:pStyle w:val="Compact"/>
              <w:jc w:val="left"/>
            </w:pPr>
            <w:r>
              <w:t xml:space="preserve">[Engineer's Full Name]</w:t>
            </w:r>
          </w:p>
        </w:tc>
      </w:tr>
      <w:tr>
        <w:tc>
          <w:tcPr/>
          <w:p>
            <w:pPr>
              <w:pStyle w:val="Compact"/>
              <w:jc w:val="left"/>
            </w:pPr>
            <w:r>
              <w:t xml:space="preserve">Professional Registration</w:t>
            </w:r>
          </w:p>
        </w:tc>
        <w:tc>
          <w:tcPr/>
          <w:p>
            <w:pPr>
              <w:pStyle w:val="Compact"/>
              <w:jc w:val="left"/>
            </w:pPr>
            <w:r>
              <w:t xml:space="preserve">[PRC License Number]</w:t>
            </w:r>
          </w:p>
        </w:tc>
      </w:tr>
      <w:tr>
        <w:tc>
          <w:tcPr/>
          <w:p>
            <w:pPr>
              <w:pStyle w:val="Compact"/>
              <w:jc w:val="left"/>
            </w:pPr>
            <w:r>
              <w:t xml:space="preserve">Employer/Organization</w:t>
            </w:r>
          </w:p>
        </w:tc>
        <w:tc>
          <w:tcPr/>
          <w:p>
            <w:pPr>
              <w:pStyle w:val="Compact"/>
              <w:jc w:val="left"/>
            </w:pPr>
            <w:r>
              <w:t xml:space="preserve">[Company/Organization Name]</w:t>
            </w:r>
          </w:p>
        </w:tc>
      </w:tr>
      <w:tr>
        <w:tc>
          <w:tcPr/>
          <w:p>
            <w:pPr>
              <w:pStyle w:val="Compact"/>
              <w:jc w:val="left"/>
            </w:pPr>
            <w:r>
              <w:t xml:space="preserve">Location</w:t>
            </w:r>
          </w:p>
        </w:tc>
        <w:tc>
          <w:tcPr/>
          <w:p>
            <w:pPr>
              <w:pStyle w:val="Compact"/>
              <w:jc w:val="left"/>
            </w:pPr>
            <w:r>
              <w:t xml:space="preserve">Philippines Manila</w:t>
            </w:r>
          </w:p>
        </w:tc>
      </w:tr>
      <w:tr>
        <w:tc>
          <w:tcPr/>
          <w:p>
            <w:pPr>
              <w:pStyle w:val="Compact"/>
              <w:jc w:val="left"/>
            </w:pPr>
            <w:r>
              <w:t xml:space="preserve">Review Period</w:t>
            </w:r>
          </w:p>
        </w:tc>
        <w:tc>
          <w:tcPr/>
          <w:p>
            <w:pPr>
              <w:pStyle w:val="Compact"/>
              <w:jc w:val="left"/>
            </w:pPr>
            <w:r>
              <w:t xml:space="preserve">[Start Date] to [End Date]</w:t>
            </w:r>
          </w:p>
        </w:tc>
      </w:tr>
      <w:tr>
        <w:tc>
          <w:tcPr/>
          <w:p>
            <w:pPr>
              <w:pStyle w:val="Compact"/>
              <w:jc w:val="left"/>
            </w:pPr>
            <w:r>
              <w:t xml:space="preserve">Reviewer(s)</w:t>
            </w:r>
          </w:p>
        </w:tc>
        <w:tc>
          <w:tcPr/>
          <w:p>
            <w:pPr>
              <w:pStyle w:val="Compact"/>
              <w:jc w:val="left"/>
            </w:pPr>
            <w:r>
              <w:t xml:space="preserve">[Reviewer's Name(s) and Credentials]</w:t>
            </w:r>
          </w:p>
        </w:tc>
      </w:tr>
    </w:tbl>
    <w:bookmarkEnd w:id="22"/>
    <w:bookmarkStart w:id="23" w:name="scope-of-review"/>
    <w:p>
      <w:pPr>
        <w:pStyle w:val="Heading2"/>
      </w:pPr>
      <w:r>
        <w:t xml:space="preserve">3. Scope of Review</w:t>
      </w:r>
    </w:p>
    <w:p>
      <w:pPr>
        <w:pStyle w:val="FirstParagraph"/>
      </w:pPr>
      <w:r>
        <w:t xml:space="preserve">The scope of this Peer Review Report encompasses the following areas:</w:t>
      </w:r>
    </w:p>
    <w:p>
      <w:pPr>
        <w:numPr>
          <w:ilvl w:val="0"/>
          <w:numId w:val="1001"/>
        </w:numPr>
        <w:pStyle w:val="Compact"/>
      </w:pPr>
      <w:r>
        <w:t xml:space="preserve">Technical competence in mechanical engineering design, analysis, and implementation.</w:t>
      </w:r>
    </w:p>
    <w:p>
      <w:pPr>
        <w:numPr>
          <w:ilvl w:val="0"/>
          <w:numId w:val="1001"/>
        </w:numPr>
        <w:pStyle w:val="Compact"/>
      </w:pPr>
      <w:r>
        <w:t xml:space="preserve">Compliance with Philippine engineering standards and regulations, particularly those enforced by the Professional Regulation Commission (PRC) and the Board of Mechanical Engineering.</w:t>
      </w:r>
    </w:p>
    <w:p>
      <w:pPr>
        <w:numPr>
          <w:ilvl w:val="0"/>
          <w:numId w:val="1001"/>
        </w:numPr>
        <w:pStyle w:val="Compact"/>
      </w:pPr>
      <w:r>
        <w:t xml:space="preserve">Quality of project documentation, including design calculations, drawings, and reports.</w:t>
      </w:r>
    </w:p>
    <w:p>
      <w:pPr>
        <w:numPr>
          <w:ilvl w:val="0"/>
          <w:numId w:val="1001"/>
        </w:numPr>
        <w:pStyle w:val="Compact"/>
      </w:pPr>
      <w:r>
        <w:t xml:space="preserve">Adherence to safety protocols and environmental considerations in the Philippines Manila context.</w:t>
      </w:r>
    </w:p>
    <w:p>
      <w:pPr>
        <w:numPr>
          <w:ilvl w:val="0"/>
          <w:numId w:val="1001"/>
        </w:numPr>
        <w:pStyle w:val="Compact"/>
      </w:pPr>
      <w:r>
        <w:t xml:space="preserve">Professional conduct, teamwork, and communication skills.</w:t>
      </w:r>
    </w:p>
    <w:p>
      <w:pPr>
        <w:numPr>
          <w:ilvl w:val="0"/>
          <w:numId w:val="1001"/>
        </w:numPr>
        <w:pStyle w:val="Compact"/>
      </w:pPr>
      <w:r>
        <w:t xml:space="preserve">Contribution to innovation and continuous improvement in engineering practices.</w:t>
      </w:r>
    </w:p>
    <w:bookmarkEnd w:id="23"/>
    <w:bookmarkStart w:id="24" w:name="evaluation-criteria"/>
    <w:p>
      <w:pPr>
        <w:pStyle w:val="Heading2"/>
      </w:pPr>
      <w:r>
        <w:t xml:space="preserve">4. Evaluation Criteria</w:t>
      </w:r>
    </w:p>
    <w:p>
      <w:pPr>
        <w:pStyle w:val="FirstParagraph"/>
      </w:pPr>
      <w:r>
        <w:t xml:space="preserve">The evaluation of the Mechanical Engineer is based on the following criteria:</w:t>
      </w:r>
    </w:p>
    <w:p>
      <w:pPr>
        <w:numPr>
          <w:ilvl w:val="0"/>
          <w:numId w:val="1002"/>
        </w:numPr>
        <w:pStyle w:val="Compact"/>
      </w:pPr>
      <w:r>
        <w:rPr>
          <w:bCs/>
          <w:b/>
        </w:rPr>
        <w:t xml:space="preserve">Technical Expertise:</w:t>
      </w:r>
      <w:r>
        <w:t xml:space="preserve"> </w:t>
      </w:r>
      <w:r>
        <w:t xml:space="preserve">Depth of knowledge in mechanical systems, thermodynamics, fluid mechanics, materials science, and related fields.</w:t>
      </w:r>
    </w:p>
    <w:p>
      <w:pPr>
        <w:numPr>
          <w:ilvl w:val="0"/>
          <w:numId w:val="1002"/>
        </w:numPr>
        <w:pStyle w:val="Compact"/>
      </w:pPr>
      <w:r>
        <w:rPr>
          <w:bCs/>
          <w:b/>
        </w:rPr>
        <w:t xml:space="preserve">Project Management:</w:t>
      </w:r>
      <w:r>
        <w:t xml:space="preserve"> </w:t>
      </w:r>
      <w:r>
        <w:t xml:space="preserve">Ability to plan, execute, and deliver projects within scope, time, and budget constraints.</w:t>
      </w:r>
    </w:p>
    <w:p>
      <w:pPr>
        <w:numPr>
          <w:ilvl w:val="0"/>
          <w:numId w:val="1002"/>
        </w:numPr>
        <w:pStyle w:val="Compact"/>
      </w:pPr>
      <w:r>
        <w:rPr>
          <w:bCs/>
          <w:b/>
        </w:rPr>
        <w:t xml:space="preserve">Regulatory Compliance:</w:t>
      </w:r>
      <w:r>
        <w:t xml:space="preserve"> </w:t>
      </w:r>
      <w:r>
        <w:t xml:space="preserve">Adherence to local laws, codes, and standards applicable to mechanical engineering in the Philippines Manila.</w:t>
      </w:r>
    </w:p>
    <w:p>
      <w:pPr>
        <w:numPr>
          <w:ilvl w:val="0"/>
          <w:numId w:val="1002"/>
        </w:numPr>
        <w:pStyle w:val="Compact"/>
      </w:pPr>
      <w:r>
        <w:rPr>
          <w:bCs/>
          <w:b/>
        </w:rPr>
        <w:t xml:space="preserve">Problem-Solving Skills:</w:t>
      </w:r>
      <w:r>
        <w:t xml:space="preserve"> </w:t>
      </w:r>
      <w:r>
        <w:t xml:space="preserve">Capacity to identify, analyze, and resolve technical challenges effectively.</w:t>
      </w:r>
    </w:p>
    <w:p>
      <w:pPr>
        <w:numPr>
          <w:ilvl w:val="0"/>
          <w:numId w:val="1002"/>
        </w:numPr>
        <w:pStyle w:val="Compact"/>
      </w:pPr>
      <w:r>
        <w:rPr>
          <w:bCs/>
          <w:b/>
        </w:rPr>
        <w:t xml:space="preserve">Professional Ethics:</w:t>
      </w:r>
      <w:r>
        <w:t xml:space="preserve"> </w:t>
      </w:r>
      <w:r>
        <w:t xml:space="preserve">Commitment to ethical practices, integrity, and accountability in engineering work.</w:t>
      </w:r>
    </w:p>
    <w:p>
      <w:pPr>
        <w:numPr>
          <w:ilvl w:val="0"/>
          <w:numId w:val="1002"/>
        </w:numPr>
        <w:pStyle w:val="Compact"/>
      </w:pPr>
      <w:r>
        <w:rPr>
          <w:bCs/>
          <w:b/>
        </w:rPr>
        <w:t xml:space="preserve">Collaboration:</w:t>
      </w:r>
      <w:r>
        <w:t xml:space="preserve"> </w:t>
      </w:r>
      <w:r>
        <w:t xml:space="preserve">Effectiveness in working with multidisciplinary teams and stakeholders.</w:t>
      </w:r>
    </w:p>
    <w:bookmarkEnd w:id="24"/>
    <w:bookmarkStart w:id="29" w:name="findings"/>
    <w:p>
      <w:pPr>
        <w:pStyle w:val="Heading2"/>
      </w:pPr>
      <w:r>
        <w:t xml:space="preserve">5. Findings</w:t>
      </w:r>
    </w:p>
    <w:bookmarkStart w:id="25" w:name="technical-competence"/>
    <w:p>
      <w:pPr>
        <w:pStyle w:val="Heading3"/>
      </w:pPr>
      <w:r>
        <w:t xml:space="preserve">5.1 Technical Competence</w:t>
      </w:r>
    </w:p>
    <w:p>
      <w:pPr>
        <w:pStyle w:val="FirstParagraph"/>
      </w:pPr>
      <w:r>
        <w:t xml:space="preserve">The Mechanical Engineer demonstrated a strong understanding of core engineering principles and their application to real-world projects in the Philippines Manila. Design solutions were innovative, efficient, and aligned with industry best practices. The engineer's proficiency in using CAD software, simulation tools, and analytical methods was evident in the quality of deliverables.</w:t>
      </w:r>
    </w:p>
    <w:bookmarkEnd w:id="25"/>
    <w:bookmarkStart w:id="26" w:name="regulatory-compliance"/>
    <w:p>
      <w:pPr>
        <w:pStyle w:val="Heading3"/>
      </w:pPr>
      <w:r>
        <w:t xml:space="preserve">5.2 Regulatory Compliance</w:t>
      </w:r>
    </w:p>
    <w:p>
      <w:pPr>
        <w:pStyle w:val="FirstParagraph"/>
      </w:pPr>
      <w:r>
        <w:t xml:space="preserve">The engineer consistently adhered to the standards set by the PRC and the Board of Mechanical Engineering. All projects reviewed were in compliance with the National Building Code of the Philippines, energy efficiency guidelines, and environmental regulations specific to the Philippines Manila region. Documentation was thorough and met all legal requirements.</w:t>
      </w:r>
    </w:p>
    <w:bookmarkEnd w:id="26"/>
    <w:bookmarkStart w:id="27" w:name="project-management"/>
    <w:p>
      <w:pPr>
        <w:pStyle w:val="Heading3"/>
      </w:pPr>
      <w:r>
        <w:t xml:space="preserve">5.3 Project Management</w:t>
      </w:r>
    </w:p>
    <w:p>
      <w:pPr>
        <w:pStyle w:val="FirstParagraph"/>
      </w:pPr>
      <w:r>
        <w:t xml:space="preserve">The engineer exhibited strong project management skills, ensuring timely delivery of projects while maintaining high quality. Effective communication with clients, contractors, and team members facilitated smooth project execution. Risk management strategies were well-implemented, minimizing delays and cost overruns.</w:t>
      </w:r>
    </w:p>
    <w:bookmarkEnd w:id="27"/>
    <w:bookmarkStart w:id="28" w:name="professional-conduct"/>
    <w:p>
      <w:pPr>
        <w:pStyle w:val="Heading3"/>
      </w:pPr>
      <w:r>
        <w:t xml:space="preserve">5.4 Professional Conduct</w:t>
      </w:r>
    </w:p>
    <w:p>
      <w:pPr>
        <w:pStyle w:val="FirstParagraph"/>
      </w:pPr>
      <w:r>
        <w:t xml:space="preserve">The engineer maintained a high level of professionalism throughout the review period. Ethical considerations were prioritized, and conflicts of interest were avoided. The engineer actively contributed to team discussions and demonstrated leadership qualities when required.</w:t>
      </w:r>
    </w:p>
    <w:bookmarkEnd w:id="28"/>
    <w:bookmarkEnd w:id="29"/>
    <w:bookmarkStart w:id="30"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Continue to stay updated with emerging technologies and trends in mechanical engineering to enhance innovation.</w:t>
      </w:r>
    </w:p>
    <w:p>
      <w:pPr>
        <w:numPr>
          <w:ilvl w:val="0"/>
          <w:numId w:val="1003"/>
        </w:numPr>
        <w:pStyle w:val="Compact"/>
      </w:pPr>
      <w:r>
        <w:t xml:space="preserve">Participate in professional development programs offered by the Philippine Institute of Mechanical Engineers (PIME) to further strengthen expertise.</w:t>
      </w:r>
    </w:p>
    <w:p>
      <w:pPr>
        <w:numPr>
          <w:ilvl w:val="0"/>
          <w:numId w:val="1003"/>
        </w:numPr>
        <w:pStyle w:val="Compact"/>
      </w:pPr>
      <w:r>
        <w:t xml:space="preserve">Explore opportunities to mentor junior engineers and contribute to the growth of the engineering community in the Philippines Manila.</w:t>
      </w:r>
    </w:p>
    <w:p>
      <w:pPr>
        <w:numPr>
          <w:ilvl w:val="0"/>
          <w:numId w:val="1003"/>
        </w:numPr>
        <w:pStyle w:val="Compact"/>
      </w:pPr>
      <w:r>
        <w:t xml:space="preserve">Consider pursuing advanced certifications in specialized areas such as HVAC, renewable energy, or automation.</w:t>
      </w:r>
    </w:p>
    <w:bookmarkEnd w:id="30"/>
    <w:bookmarkStart w:id="31" w:name="conclusion"/>
    <w:p>
      <w:pPr>
        <w:pStyle w:val="Heading2"/>
      </w:pPr>
      <w:r>
        <w:t xml:space="preserve">7. Conclusion</w:t>
      </w:r>
    </w:p>
    <w:p>
      <w:pPr>
        <w:pStyle w:val="FirstParagraph"/>
      </w:pPr>
      <w:r>
        <w:t xml:space="preserve">This Peer Review Report confirms that the Mechanical Engineer under review has demonstrated exceptional competence, professionalism, and dedication to their craft. Their contributions to projects in the Philippines Manila have been significant, and they have consistently upheld the highest standards of engineering practice. The engineer is well-regarded by peers and stakeholders alike, and their work reflects a deep commitment to excellence.</w:t>
      </w:r>
    </w:p>
    <w:bookmarkEnd w:id="31"/>
    <w:p>
      <w:pPr>
        <w:pStyle w:val="BodyText"/>
      </w:pPr>
      <w:r>
        <w:rPr>
          <w:bCs/>
          <w:b/>
        </w:rPr>
        <w:t xml:space="preserve">Prepared by:</w:t>
      </w:r>
    </w:p>
    <w:p>
      <w:pPr>
        <w:pStyle w:val="BodyText"/>
      </w:pPr>
      <w:r>
        <w:t xml:space="preserve">[Reviewer's Name]</w:t>
      </w:r>
    </w:p>
    <w:p>
      <w:pPr>
        <w:pStyle w:val="BodyText"/>
      </w:pPr>
      <w:r>
        <w:t xml:space="preserve">[Reviewer's Title/Position]</w:t>
      </w:r>
    </w:p>
    <w:p>
      <w:pPr>
        <w:pStyle w:val="BodyText"/>
      </w:pPr>
      <w:r>
        <w:t xml:space="preserve">[Organization]</w:t>
      </w:r>
    </w:p>
    <w:p>
      <w:pPr>
        <w:pStyle w:val="BodyText"/>
      </w:pPr>
      <w:r>
        <w:t xml:space="preserve">[Contact Information]</w:t>
      </w:r>
    </w:p>
    <w:p>
      <w:pPr>
        <w:pStyle w:val="BodyText"/>
      </w:pPr>
      <w:r>
        <w:br/>
      </w:r>
    </w:p>
    <w:p>
      <w:pPr>
        <w:pStyle w:val="BodyText"/>
      </w:pPr>
      <w:r>
        <w:rPr>
          <w:bCs/>
          <w:b/>
        </w:rPr>
        <w:t xml:space="preserve">Approved by:</w:t>
      </w:r>
    </w:p>
    <w:p>
      <w:pPr>
        <w:pStyle w:val="BodyText"/>
      </w:pPr>
      <w:r>
        <w:t xml:space="preserve">[Approver's Name]</w:t>
      </w:r>
    </w:p>
    <w:p>
      <w:pPr>
        <w:pStyle w:val="BodyText"/>
      </w:pPr>
      <w:r>
        <w:t xml:space="preserve">[Approver's Title/Position]</w:t>
      </w:r>
    </w:p>
    <w:p>
      <w:pPr>
        <w:pStyle w:val="BodyText"/>
      </w:pPr>
      <w:r>
        <w:t xml:space="preserve">[Organization]</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 - Philippines Manila</dc:title>
  <dc:creator/>
  <dc:language>en</dc:language>
  <cp:keywords/>
  <dcterms:created xsi:type="dcterms:W3CDTF">2026-10-10T09:12:22Z</dcterms:created>
  <dcterms:modified xsi:type="dcterms:W3CDTF">2026-10-10T09:12:22Z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