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scientific contributions, and ethical compliance of a Medical Researcher operating within the healthcare and academic sectors of Iraq, specifically in Baghdad. The evaluation is conducted in accordance with international standards of medical research and local regulatory frameworks established by the Iraqi Ministry of Health and relevant academic institutions in Baghdad.</w:t>
      </w:r>
    </w:p>
    <w:p>
      <w:pPr>
        <w:pStyle w:val="BodyText"/>
      </w:pPr>
      <w:r>
        <w:t xml:space="preserve">The role of a Medical Researcher in Iraq is critical, particularly in addressing public health challenges such as infectious diseases, non-communicable diseases, and the long-term health impacts of environmental factors. This report aims to provide a comprehensive analysis of the researcher's work, focusing on their methodology, data integrity, collaboration, and impact on the medical community in Baghdad and beyond.</w:t>
      </w:r>
    </w:p>
    <w:bookmarkEnd w:id="21"/>
    <w:bookmarkStart w:id="22" w:name="researcher-profile"/>
    <w:p>
      <w:pPr>
        <w:pStyle w:val="Heading2"/>
      </w:pPr>
      <w:r>
        <w:t xml:space="preserve">2. Researcher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[Researcher Name]</w:t>
            </w:r>
          </w:p>
        </w:tc>
      </w:tr>
      <w:tr>
        <w:tc>
          <w:tcPr/>
          <w:p>
            <w:pPr>
              <w:pStyle w:val="Compact"/>
              <w:jc w:val="left"/>
            </w:pPr>
            <w:r>
              <w:t xml:space="preserve">Position</w:t>
            </w:r>
          </w:p>
        </w:tc>
        <w:tc>
          <w:tcPr/>
          <w:p>
            <w:pPr>
              <w:pStyle w:val="Compact"/>
              <w:jc w:val="left"/>
            </w:pPr>
            <w:r>
              <w:t xml:space="preserve">Medical Researcher</w:t>
            </w:r>
          </w:p>
        </w:tc>
      </w:tr>
      <w:tr>
        <w:tc>
          <w:tcPr/>
          <w:p>
            <w:pPr>
              <w:pStyle w:val="Compact"/>
              <w:jc w:val="left"/>
            </w:pPr>
            <w:r>
              <w:t xml:space="preserve">Institution</w:t>
            </w:r>
          </w:p>
        </w:tc>
        <w:tc>
          <w:tcPr/>
          <w:p>
            <w:pPr>
              <w:pStyle w:val="Compact"/>
              <w:jc w:val="left"/>
            </w:pPr>
            <w:r>
              <w:t xml:space="preserve">[Institution Name], Baghdad, Iraq</w:t>
            </w:r>
          </w:p>
        </w:tc>
      </w:tr>
      <w:tr>
        <w:tc>
          <w:tcPr/>
          <w:p>
            <w:pPr>
              <w:pStyle w:val="Compact"/>
              <w:jc w:val="left"/>
            </w:pPr>
            <w:r>
              <w:t xml:space="preserve">Specialization</w:t>
            </w:r>
          </w:p>
        </w:tc>
        <w:tc>
          <w:tcPr/>
          <w:p>
            <w:pPr>
              <w:pStyle w:val="Compact"/>
              <w:jc w:val="left"/>
            </w:pPr>
            <w:r>
              <w:t xml:space="preserve">[e.g., Epidemiology, Clinical Trials, Public Health]</w:t>
            </w:r>
          </w:p>
        </w:tc>
      </w:tr>
      <w:tr>
        <w:tc>
          <w:tcPr/>
          <w:p>
            <w:pPr>
              <w:pStyle w:val="Compact"/>
              <w:jc w:val="left"/>
            </w:pPr>
            <w:r>
              <w:t xml:space="preserve">Review Period</w:t>
            </w:r>
          </w:p>
        </w:tc>
        <w:tc>
          <w:tcPr/>
          <w:p>
            <w:pPr>
              <w:pStyle w:val="Compact"/>
              <w:jc w:val="left"/>
            </w:pPr>
            <w:r>
              <w:t xml:space="preserve">January 2022 – December 2023</w:t>
            </w:r>
          </w:p>
        </w:tc>
      </w:tr>
    </w:tbl>
    <w:bookmarkEnd w:id="22"/>
    <w:bookmarkStart w:id="23" w:name="evaluation-criteria"/>
    <w:p>
      <w:pPr>
        <w:pStyle w:val="Heading2"/>
      </w:pPr>
      <w:r>
        <w:t xml:space="preserve">3. Evaluation Criteria</w:t>
      </w:r>
    </w:p>
    <w:p>
      <w:pPr>
        <w:pStyle w:val="FirstParagraph"/>
      </w:pPr>
      <w:r>
        <w:t xml:space="preserve">The assessment of the Medical Researcher is based on the following key criteria, which are aligned with global best practices and adapted to the specific context of medical research in Iraq:</w:t>
      </w:r>
    </w:p>
    <w:p>
      <w:pPr>
        <w:numPr>
          <w:ilvl w:val="0"/>
          <w:numId w:val="1001"/>
        </w:numPr>
        <w:pStyle w:val="Compact"/>
      </w:pPr>
      <w:r>
        <w:rPr>
          <w:bCs/>
          <w:b/>
        </w:rPr>
        <w:t xml:space="preserve">Scientific Rigor:</w:t>
      </w:r>
      <w:r>
        <w:t xml:space="preserve"> </w:t>
      </w:r>
      <w:r>
        <w:t xml:space="preserve">Quality of research design, methodology, and data analysis.</w:t>
      </w:r>
    </w:p>
    <w:p>
      <w:pPr>
        <w:numPr>
          <w:ilvl w:val="0"/>
          <w:numId w:val="1001"/>
        </w:numPr>
        <w:pStyle w:val="Compact"/>
      </w:pPr>
      <w:r>
        <w:rPr>
          <w:bCs/>
          <w:b/>
        </w:rPr>
        <w:t xml:space="preserve">Ethical Compliance:</w:t>
      </w:r>
      <w:r>
        <w:t xml:space="preserve"> </w:t>
      </w:r>
      <w:r>
        <w:t xml:space="preserve">Adherence to ethical guidelines, including informed consent and patient confidentiality.</w:t>
      </w:r>
    </w:p>
    <w:p>
      <w:pPr>
        <w:numPr>
          <w:ilvl w:val="0"/>
          <w:numId w:val="1001"/>
        </w:numPr>
        <w:pStyle w:val="Compact"/>
      </w:pPr>
      <w:r>
        <w:rPr>
          <w:bCs/>
          <w:b/>
        </w:rPr>
        <w:t xml:space="preserve">Impact and Relevance:</w:t>
      </w:r>
      <w:r>
        <w:t xml:space="preserve"> </w:t>
      </w:r>
      <w:r>
        <w:t xml:space="preserve">Contribution to medical knowledge and public health in Baghdad and Iraq.</w:t>
      </w:r>
    </w:p>
    <w:p>
      <w:pPr>
        <w:numPr>
          <w:ilvl w:val="0"/>
          <w:numId w:val="1001"/>
        </w:numPr>
        <w:pStyle w:val="Compact"/>
      </w:pPr>
      <w:r>
        <w:rPr>
          <w:bCs/>
          <w:b/>
        </w:rPr>
        <w:t xml:space="preserve">Collaboration and Leadership:</w:t>
      </w:r>
      <w:r>
        <w:t xml:space="preserve"> </w:t>
      </w:r>
      <w:r>
        <w:t xml:space="preserve">Ability to work with multidisciplinary teams and mentor junior researchers.</w:t>
      </w:r>
    </w:p>
    <w:p>
      <w:pPr>
        <w:numPr>
          <w:ilvl w:val="0"/>
          <w:numId w:val="1001"/>
        </w:numPr>
        <w:pStyle w:val="Compact"/>
      </w:pPr>
      <w:r>
        <w:rPr>
          <w:bCs/>
          <w:b/>
        </w:rPr>
        <w:t xml:space="preserve">Dissemination:</w:t>
      </w:r>
      <w:r>
        <w:t xml:space="preserve"> </w:t>
      </w:r>
      <w:r>
        <w:t xml:space="preserve">Publication of findings in reputable journals and presentation at conferences.</w:t>
      </w:r>
    </w:p>
    <w:bookmarkEnd w:id="23"/>
    <w:bookmarkStart w:id="29" w:name="detailed-assessment"/>
    <w:p>
      <w:pPr>
        <w:pStyle w:val="Heading2"/>
      </w:pPr>
      <w:r>
        <w:t xml:space="preserve">4. Detailed Assessment</w:t>
      </w:r>
    </w:p>
    <w:bookmarkStart w:id="24" w:name="scientific-rigor"/>
    <w:p>
      <w:pPr>
        <w:pStyle w:val="Heading3"/>
      </w:pPr>
      <w:r>
        <w:t xml:space="preserve">4.1 Scientific Rigor</w:t>
      </w:r>
    </w:p>
    <w:p>
      <w:pPr>
        <w:pStyle w:val="FirstParagraph"/>
      </w:pPr>
      <w:r>
        <w:t xml:space="preserve">The Medical Researcher has demonstrated a high level of scientific rigor in their work. Their research projects, particularly those focused on [specific area, e.g., infectious disease control], have been well-designed and methodologically sound. The use of appropriate statistical tools and adherence to established protocols reflect a strong commitment to producing reliable and reproducible results. In the context of Baghdad, where healthcare infrastructure can be challenging, the researcher's ability to maintain high standards is commendable.</w:t>
      </w:r>
    </w:p>
    <w:bookmarkEnd w:id="24"/>
    <w:bookmarkStart w:id="25" w:name="ethical-compliance"/>
    <w:p>
      <w:pPr>
        <w:pStyle w:val="Heading3"/>
      </w:pPr>
      <w:r>
        <w:t xml:space="preserve">4.2 Ethical Compliance</w:t>
      </w:r>
    </w:p>
    <w:p>
      <w:pPr>
        <w:pStyle w:val="FirstParagraph"/>
      </w:pPr>
      <w:r>
        <w:t xml:space="preserve">Ethical considerations are paramount in medical research, especially in a region like Iraq where patient trust and cultural sensitivity are crucial. The researcher has consistently adhered to ethical guidelines, ensuring that all studies received approval from relevant institutional review boards. Informed consent processes were transparent, and patient confidentiality was strictly maintained. This commitment to ethics enhances the credibility of their work and aligns with international standards.</w:t>
      </w:r>
    </w:p>
    <w:bookmarkEnd w:id="25"/>
    <w:bookmarkStart w:id="26" w:name="impact-and-relevance"/>
    <w:p>
      <w:pPr>
        <w:pStyle w:val="Heading3"/>
      </w:pPr>
      <w:r>
        <w:t xml:space="preserve">4.3 Impact and Relevance</w:t>
      </w:r>
    </w:p>
    <w:p>
      <w:pPr>
        <w:pStyle w:val="FirstParagraph"/>
      </w:pPr>
      <w:r>
        <w:t xml:space="preserve">The researcher's work has had a significant impact on public health in Baghdad. For instance, their study on [specific topic] provided valuable insights that have been used to inform local health policies. By addressing issues relevant to the Iraqi population, such as [specific health challenge], the researcher has contributed to improving healthcare outcomes and raising awareness about critical health issues.</w:t>
      </w:r>
    </w:p>
    <w:bookmarkEnd w:id="26"/>
    <w:bookmarkStart w:id="27" w:name="collaboration-and-leadership"/>
    <w:p>
      <w:pPr>
        <w:pStyle w:val="Heading3"/>
      </w:pPr>
      <w:r>
        <w:t xml:space="preserve">4.4 Collaboration and Leadership</w:t>
      </w:r>
    </w:p>
    <w:p>
      <w:pPr>
        <w:pStyle w:val="FirstParagraph"/>
      </w:pPr>
      <w:r>
        <w:t xml:space="preserve">Collaboration is essential in advancing medical research, and the researcher has excelled in this area. They have actively participated in multidisciplinary projects, working closely with clinicians, epidemiologists, and public health officials in Baghdad. Additionally, their mentorship of junior researchers and students has helped to build capacity within the local scientific community, fostering a culture of excellence and innovation.</w:t>
      </w:r>
    </w:p>
    <w:bookmarkEnd w:id="27"/>
    <w:bookmarkStart w:id="28" w:name="dissemination"/>
    <w:p>
      <w:pPr>
        <w:pStyle w:val="Heading3"/>
      </w:pPr>
      <w:r>
        <w:t xml:space="preserve">4.5 Dissemination</w:t>
      </w:r>
    </w:p>
    <w:p>
      <w:pPr>
        <w:pStyle w:val="FirstParagraph"/>
      </w:pPr>
      <w:r>
        <w:t xml:space="preserve">The researcher has effectively disseminated their findings through publications in peer-reviewed journals and presentations at national and international conferences. This not only increases the visibility of their work but also contributes to the global understanding of health issues in Iraq. Their ability to communicate complex scientific concepts to diverse audiences is a notable strength.</w:t>
      </w:r>
    </w:p>
    <w:bookmarkEnd w:id="28"/>
    <w:bookmarkEnd w:id="29"/>
    <w:bookmarkStart w:id="30" w:name="strengths"/>
    <w:p>
      <w:pPr>
        <w:pStyle w:val="Heading2"/>
      </w:pPr>
      <w:r>
        <w:t xml:space="preserve">5. Strengths</w:t>
      </w:r>
    </w:p>
    <w:p>
      <w:pPr>
        <w:numPr>
          <w:ilvl w:val="0"/>
          <w:numId w:val="1002"/>
        </w:numPr>
        <w:pStyle w:val="Compact"/>
      </w:pPr>
      <w:r>
        <w:t xml:space="preserve">Strong methodological skills and attention to detail.</w:t>
      </w:r>
    </w:p>
    <w:p>
      <w:pPr>
        <w:numPr>
          <w:ilvl w:val="0"/>
          <w:numId w:val="1002"/>
        </w:numPr>
        <w:pStyle w:val="Compact"/>
      </w:pPr>
      <w:r>
        <w:t xml:space="preserve">Commitment to ethical standards and patient welfare.</w:t>
      </w:r>
    </w:p>
    <w:p>
      <w:pPr>
        <w:numPr>
          <w:ilvl w:val="0"/>
          <w:numId w:val="1002"/>
        </w:numPr>
        <w:pStyle w:val="Compact"/>
      </w:pPr>
      <w:r>
        <w:t xml:space="preserve">Relevant and impactful research addressing local health challenges.</w:t>
      </w:r>
    </w:p>
    <w:p>
      <w:pPr>
        <w:numPr>
          <w:ilvl w:val="0"/>
          <w:numId w:val="1002"/>
        </w:numPr>
        <w:pStyle w:val="Compact"/>
      </w:pPr>
      <w:r>
        <w:t xml:space="preserve">Effective collaboration and leadership within the research community.</w:t>
      </w:r>
    </w:p>
    <w:p>
      <w:pPr>
        <w:numPr>
          <w:ilvl w:val="0"/>
          <w:numId w:val="1002"/>
        </w:numPr>
        <w:pStyle w:val="Compact"/>
      </w:pPr>
      <w:r>
        <w:t xml:space="preserve">Successful dissemination of findings to both local and international audiences.</w:t>
      </w:r>
    </w:p>
    <w:bookmarkEnd w:id="30"/>
    <w:bookmarkStart w:id="31" w:name="areas-for-improvement"/>
    <w:p>
      <w:pPr>
        <w:pStyle w:val="Heading2"/>
      </w:pPr>
      <w:r>
        <w:t xml:space="preserve">6. Areas for Improvement</w:t>
      </w:r>
    </w:p>
    <w:p>
      <w:pPr>
        <w:numPr>
          <w:ilvl w:val="0"/>
          <w:numId w:val="1003"/>
        </w:numPr>
        <w:pStyle w:val="Compact"/>
      </w:pPr>
      <w:r>
        <w:t xml:space="preserve">Enhance engagement with community stakeholders to ensure research aligns closely with public needs.</w:t>
      </w:r>
    </w:p>
    <w:p>
      <w:pPr>
        <w:numPr>
          <w:ilvl w:val="0"/>
          <w:numId w:val="1003"/>
        </w:numPr>
        <w:pStyle w:val="Compact"/>
      </w:pPr>
      <w:r>
        <w:t xml:space="preserve">Explore opportunities for international collaboration to broaden the scope and impact of research.</w:t>
      </w:r>
    </w:p>
    <w:p>
      <w:pPr>
        <w:numPr>
          <w:ilvl w:val="0"/>
          <w:numId w:val="1003"/>
        </w:numPr>
        <w:pStyle w:val="Compact"/>
      </w:pPr>
      <w:r>
        <w:t xml:space="preserve">Invest in advanced training for research team members to further strengthen capacity.</w:t>
      </w:r>
    </w:p>
    <w:bookmarkEnd w:id="31"/>
    <w:bookmarkStart w:id="32" w:name="conclusion"/>
    <w:p>
      <w:pPr>
        <w:pStyle w:val="Heading2"/>
      </w:pPr>
      <w:r>
        <w:t xml:space="preserve">7. Conclusion</w:t>
      </w:r>
    </w:p>
    <w:p>
      <w:pPr>
        <w:pStyle w:val="FirstParagraph"/>
      </w:pPr>
      <w:r>
        <w:t xml:space="preserve">In conclusion, the Medical Researcher under review has demonstrated exceptional performance and dedication to advancing medical science in Iraq, particularly in Baghdad. Their work is characterized by scientific rigor, ethical integrity, and a clear focus on addressing public health challenges. This Peer Review Report recommends continued support for their research activities and encourages further initiatives that leverage their expertise for the benefit of the Iraqi population.</w:t>
      </w:r>
    </w:p>
    <w:bookmarkEnd w:id="32"/>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[Institution]</w:t>
      </w:r>
    </w:p>
    <w:p>
      <w:pPr>
        <w:pStyle w:val="BodyText"/>
      </w:pPr>
      <w:r>
        <w:t xml:space="preserve">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2026-10-10T03:21:20Z</dcterms:created>
  <dcterms:modified xsi:type="dcterms:W3CDTF">2026-10-10T03:21:20Z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