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Methodological Rigor</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Almaty Regional Medical Research Ethics Board</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research activities, clinical trial management, and scientific output of a designated Medical Researcher operating within the healthcare infrastructure of Almaty, Kazakhstan. The primary objective of this review is to ensure that the researcher adheres to the highest standards of scientific integrity, ethical compliance, and methodological precision required by both local Kazakhstani health regulations and international medical standards.</w:t>
      </w:r>
    </w:p>
    <w:p>
      <w:pPr>
        <w:pStyle w:val="BodyText"/>
      </w:pPr>
      <w:r>
        <w:t xml:space="preserve">As Almaty continues to position itself as a leading hub for medical innovation in Central Asia, the role of the Medical Researcher is pivotal. This document assesses the researcher's contribution to ongoing projects, specifically focusing on their ability to navigate the unique epidemiological landscape of the region while maintaining rigorous data integrity. The review covers the period from January 2023 to September 2023.</w:t>
      </w:r>
    </w:p>
    <w:bookmarkEnd w:id="21"/>
    <w:bookmarkStart w:id="22" w:name="methodological-rigor-and-study-design"/>
    <w:p>
      <w:pPr>
        <w:pStyle w:val="Heading2"/>
      </w:pPr>
      <w:r>
        <w:t xml:space="preserve">2. Methodological Rigor and Study Design</w:t>
      </w:r>
    </w:p>
    <w:p>
      <w:pPr>
        <w:pStyle w:val="FirstParagraph"/>
      </w:pPr>
      <w:r>
        <w:t xml:space="preserve">The core competency of any Medical Researcher lies in the design and execution of robust studies. In the context of this review, the researcher's protocols were scrutinized for statistical validity and reproducibility. The evaluation confirms that the researcher has successfully implemented randomized controlled trial (RCT) frameworks that align with the guidelines set forth by the Ministry of Health of the Republic of Kazakhstan.</w:t>
      </w:r>
    </w:p>
    <w:p>
      <w:pPr>
        <w:pStyle w:val="BodyText"/>
      </w:pPr>
      <w:r>
        <w:t xml:space="preserve">Specifically, the researcher demonstrated a strong understanding of sample size calculations appropriate for the demographic diversity found in Almaty. The inclusion criteria were well-defined, ensuring that the study population accurately reflected the local patient base. Furthermore, the blinding procedures and randomization techniques employed were executed without deviation, minimizing selection bias and ensuring the reliability of the clinical data collected.</w:t>
      </w:r>
    </w:p>
    <w:bookmarkEnd w:id="22"/>
    <w:bookmarkStart w:id="23" w:name="ethical-compliance-and-patient-safety"/>
    <w:p>
      <w:pPr>
        <w:pStyle w:val="Heading2"/>
      </w:pPr>
      <w:r>
        <w:t xml:space="preserve">3. Ethical Compliance and Patient Safety</w:t>
      </w:r>
    </w:p>
    <w:p>
      <w:pPr>
        <w:pStyle w:val="FirstParagraph"/>
      </w:pPr>
      <w:r>
        <w:t xml:space="preserve">Ethical considerations are paramount in medical research, particularly in a developing healthcare environment like Kazakhstan. This Peer Review Report highlights the researcher's strict adherence to the Declaration of Helsinki and local bioethics regulations. The review committee verified that all informed consent processes were conducted transparently, with documents provided in both Russian and Kazakh to ensure full comprehension by participants in Almaty.</w:t>
      </w:r>
    </w:p>
    <w:p>
      <w:pPr>
        <w:pStyle w:val="BodyText"/>
      </w:pPr>
      <w:r>
        <w:t xml:space="preserve">Patient safety monitoring was found to be exemplary. The researcher maintained a proactive approach to adverse event reporting, ensuring that any complications were documented immediately and reported to the relevant ethics committees in Almaty. This diligence not only protects the participants but also enhances the credibility of the research within the broader scientific community.</w:t>
      </w:r>
    </w:p>
    <w:bookmarkEnd w:id="23"/>
    <w:bookmarkStart w:id="24" w:name="data-management-and-integrity"/>
    <w:p>
      <w:pPr>
        <w:pStyle w:val="Heading2"/>
      </w:pPr>
      <w:r>
        <w:t xml:space="preserve">4. Data Management and Integrity</w:t>
      </w:r>
    </w:p>
    <w:p>
      <w:pPr>
        <w:pStyle w:val="FirstParagraph"/>
      </w:pPr>
      <w:r>
        <w:t xml:space="preserve">In the era of digital health, data management is a critical aspect of the Medical Researcher's role. The review assessed the systems used for data collection, storage, and analysis. The researcher utilized secure, encrypted databases compliant with Kazakhstan's data protection laws. The audit trails were complete, allowing for full traceability of data entries and modifications.</w:t>
      </w:r>
    </w:p>
    <w:p>
      <w:pPr>
        <w:pStyle w:val="BodyText"/>
      </w:pPr>
      <w:r>
        <w:t xml:space="preserve">Statistical analysis was performed using industry-standard software, and the methods were clearly documented. The researcher avoided p-hacking and selective reporting, presenting both positive and negative findings with equal transparency. This commitment to data integrity is essential for the advancement of medical science in Almaty and ensures that the findings can be trusted by policymakers and healthcare providers.</w:t>
      </w:r>
    </w:p>
    <w:bookmarkEnd w:id="24"/>
    <w:bookmarkStart w:id="25" w:name="collaboration-and-regional-impact"/>
    <w:p>
      <w:pPr>
        <w:pStyle w:val="Heading2"/>
      </w:pPr>
      <w:r>
        <w:t xml:space="preserve">5. Collaboration and Regional Impact</w:t>
      </w:r>
    </w:p>
    <w:p>
      <w:pPr>
        <w:pStyle w:val="FirstParagraph"/>
      </w:pPr>
      <w:r>
        <w:t xml:space="preserve">A significant portion of this Peer Review Report is dedicated to the researcher's collaborative efforts. Medical research in Almaty benefits greatly from interdisciplinary cooperation. The researcher has actively engaged with local hospitals, universities, and international partners to facilitate knowledge exchange. This collaboration has been instrumental in addressing region-specific health challenges, such as non-communicable diseases prevalent in the Almaty region.</w:t>
      </w:r>
    </w:p>
    <w:p>
      <w:pPr>
        <w:pStyle w:val="BodyText"/>
      </w:pPr>
      <w:r>
        <w:t xml:space="preserve">The researcher's ability to communicate complex scientific concepts to diverse stakeholders, including government officials and the general public, was noted as a strength. This skill is vital for translating research findings into practical healthcare policies that can improve public health outcomes in Kazakhstan.</w:t>
      </w:r>
    </w:p>
    <w:bookmarkEnd w:id="25"/>
    <w:bookmarkStart w:id="26" w:name="areas-for-improvement"/>
    <w:p>
      <w:pPr>
        <w:pStyle w:val="Heading2"/>
      </w:pPr>
      <w:r>
        <w:t xml:space="preserve">6. Areas for Improvement</w:t>
      </w:r>
    </w:p>
    <w:p>
      <w:pPr>
        <w:pStyle w:val="FirstParagraph"/>
      </w:pPr>
      <w:r>
        <w:t xml:space="preserve">While the overall performance of the Medical Researcher is commendable, this report identifies areas for potential enhancement. First, there is a need for increased engagement with rural healthcare facilities outside of Almaty to ensure that research findings are applicable to a broader population within Kazakhstan. Second, the researcher should consider incorporating more advanced genomic data analysis techniques to stay at the forefront of personalized medicine trends.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Medical Researcher under evaluation has demonstrated exceptional professionalism, scientific rigor, and ethical responsibility. Their work significantly contributes to the growing reputation of Almaty as a center for high-quality medical research in Kazakhstan. The committee recommends the continuation of their current projects and encourages further investment in their research initiatives.</w:t>
      </w:r>
    </w:p>
    <w:p>
      <w:pPr>
        <w:pStyle w:val="BodyText"/>
      </w:pPr>
      <w:r>
        <w:t xml:space="preserve">The researcher's dedication to improving healthcare standards through evidence-based practice aligns perfectly with the national health goals of Kazakhstan. We look forward to their continued contributions to the medical community in Almaty and beyond.</w:t>
      </w:r>
    </w:p>
    <w:bookmarkEnd w:id="27"/>
    <w:p>
      <w:pPr>
        <w:pStyle w:val="BodyText"/>
      </w:pPr>
      <w:r>
        <w:rPr>
          <w:bCs/>
          <w:b/>
        </w:rPr>
        <w:t xml:space="preserve">Prepared by:</w:t>
      </w:r>
    </w:p>
    <w:p>
      <w:pPr>
        <w:pStyle w:val="BodyText"/>
      </w:pPr>
      <w:r>
        <w:t xml:space="preserve">Dr. A. Serikbayev</w:t>
      </w:r>
    </w:p>
    <w:p>
      <w:pPr>
        <w:pStyle w:val="BodyText"/>
      </w:pPr>
      <w:r>
        <w:t xml:space="preserve">Senior Reviewer, Almaty Medical Research Ethics Board</w:t>
      </w:r>
    </w:p>
    <w:p>
      <w:pPr>
        <w:pStyle w:val="BodyText"/>
      </w:pPr>
      <w:r>
        <w:rPr>
          <w:bCs/>
          <w:b/>
        </w:rPr>
        <w:t xml:space="preserve">Approved by:</w:t>
      </w:r>
    </w:p>
    <w:p>
      <w:pPr>
        <w:pStyle w:val="BodyText"/>
      </w:pPr>
      <w:r>
        <w:t xml:space="preserve">Prof. L. Nazarova</w:t>
      </w:r>
    </w:p>
    <w:p>
      <w:pPr>
        <w:pStyle w:val="BodyText"/>
      </w:pPr>
      <w:r>
        <w:t xml:space="preserve">Chairperson, Regional Scientific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Almaty, Kazakhstan</dc:title>
  <dc:creator/>
  <dc:language>en</dc:language>
  <cp:keywords/>
  <dcterms:created xsi:type="dcterms:W3CDTF">2026-10-10T05:55:11Z</dcterms:created>
  <dcterms:modified xsi:type="dcterms:W3CDTF">2026-10-10T05:55:11Z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