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Research Competency and Clinical Contribution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Russia, Moscow</w:t>
      </w:r>
    </w:p>
    <w:p>
      <w:pPr>
        <w:pStyle w:val="BodyText"/>
      </w:pPr>
      <w:r>
        <w:rPr>
          <w:bCs/>
          <w:b/>
        </w:rPr>
        <w:t xml:space="preserve">Review ID:</w:t>
      </w:r>
      <w:r>
        <w:t xml:space="preserve"> </w:t>
      </w:r>
      <w:r>
        <w:t xml:space="preserve">MRC-MOW-2023-894</w:t>
      </w:r>
    </w:p>
    <w:p>
      <w:pPr>
        <w:pStyle w:val="BodyText"/>
      </w:pPr>
      <w:r>
        <w:rPr>
          <w:bCs/>
          <w:b/>
        </w:rPr>
        <w:t xml:space="preserve">Subject:</w:t>
      </w:r>
      <w:r>
        <w:t xml:space="preserve"> </w:t>
      </w:r>
      <w:r>
        <w:t xml:space="preserve">Dr. Alexei Volkov</w:t>
      </w:r>
    </w:p>
    <w:p>
      <w:pPr>
        <w:pStyle w:val="BodyText"/>
      </w:pPr>
      <w:r>
        <w:rPr>
          <w:bCs/>
          <w:b/>
        </w:rPr>
        <w:t xml:space="preserve">Role:</w:t>
      </w:r>
      <w:r>
        <w:t xml:space="preserve"> </w:t>
      </w:r>
      <w:r>
        <w:t xml:space="preserve">Senior Medical Researcher</w:t>
      </w:r>
    </w:p>
    <w:p>
      <w:pPr>
        <w:pStyle w:val="BodyText"/>
      </w:pPr>
      <w:r>
        <w:rPr>
          <w:bCs/>
          <w:b/>
        </w:rPr>
        <w:t xml:space="preserve">Institution:</w:t>
      </w:r>
      <w:r>
        <w:t xml:space="preserve"> </w:t>
      </w:r>
      <w:r>
        <w:t xml:space="preserve">Pirogov Russian National Research Medical University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scientific output, and ethical adherence of the subject, identified as a</w:t>
      </w:r>
      <w:r>
        <w:t xml:space="preserve"> </w:t>
      </w:r>
      <w:r>
        <w:rPr>
          <w:bCs/>
          <w:b/>
        </w:rPr>
        <w:t xml:space="preserve">Medical Researcher</w:t>
      </w:r>
      <w:r>
        <w:t xml:space="preserve"> </w:t>
      </w:r>
      <w:r>
        <w:t xml:space="preserve">operating within the jurisdiction of</w:t>
      </w:r>
      <w:r>
        <w:t xml:space="preserve"> </w:t>
      </w:r>
      <w:r>
        <w:rPr>
          <w:bCs/>
          <w:b/>
        </w:rPr>
        <w:t xml:space="preserve">Russia, Moscow</w:t>
      </w:r>
      <w:r>
        <w:t xml:space="preserve">. The review was conducted in accordance with the standards set by the Ministry of Health of the Russian Federation and international guidelines for clinical research integrity. The primary objective of this assessment is to determine the researcher's suitability for continued funding, promotion to a lead investigator role, and eligibility to direct Phase III clinical trials within the Moscow metropolitan healthcare network.</w:t>
      </w:r>
    </w:p>
    <w:p>
      <w:pPr>
        <w:pStyle w:val="BodyText"/>
      </w:pPr>
      <w:r>
        <w:t xml:space="preserve">The subject has demonstrated a robust understanding of epidemiological trends specific to the region, particularly in the fields of cardiology and infectious disease management. However, this report also highlights areas requiring improvement regarding data interoperability and cross-institutional collaboration protocols.</w:t>
      </w:r>
    </w:p>
    <w:bookmarkEnd w:id="20"/>
    <w:bookmarkStart w:id="21" w:name="scientific-rigor-and-methodology"/>
    <w:p>
      <w:pPr>
        <w:pStyle w:val="Heading2"/>
      </w:pPr>
      <w:r>
        <w:t xml:space="preserve">2. Scientific Rigor and Methodology</w:t>
      </w:r>
    </w:p>
    <w:p>
      <w:pPr>
        <w:pStyle w:val="FirstParagraph"/>
      </w:pPr>
      <w:r>
        <w:t xml:space="preserve">The core competency of any</w:t>
      </w:r>
      <w:r>
        <w:t xml:space="preserve"> </w:t>
      </w:r>
      <w:r>
        <w:rPr>
          <w:bCs/>
          <w:b/>
        </w:rPr>
        <w:t xml:space="preserve">Medical Researcher</w:t>
      </w:r>
      <w:r>
        <w:t xml:space="preserve"> </w:t>
      </w:r>
      <w:r>
        <w:t xml:space="preserve">lies in the design and execution of methodologically sound studies. In the context of</w:t>
      </w:r>
      <w:r>
        <w:t xml:space="preserve"> </w:t>
      </w:r>
      <w:r>
        <w:rPr>
          <w:bCs/>
          <w:b/>
        </w:rPr>
        <w:t xml:space="preserve">Russia, Moscow</w:t>
      </w:r>
      <w:r>
        <w:t xml:space="preserve">, where patient demographics are diverse and healthcare infrastructure varies between federal and municipal clinics, the ability to design inclusive study protocols is paramount.</w:t>
      </w:r>
    </w:p>
    <w:p>
      <w:pPr>
        <w:pStyle w:val="BodyText"/>
      </w:pPr>
      <w:r>
        <w:t xml:space="preserve">The subject's recent publication regarding the efficacy of novel anticoagulants in elderly populations was subjected to rigorous scrutiny. The sample size was adequate, and the exclusion criteria were clearly defined. The statistical analysis employed was appropriate for the dataset. However, the</w:t>
      </w:r>
      <w:r>
        <w:t xml:space="preserve"> </w:t>
      </w:r>
      <w:r>
        <w:rPr>
          <w:bCs/>
          <w:b/>
        </w:rPr>
        <w:t xml:space="preserve">Peer Review Report</w:t>
      </w:r>
      <w:r>
        <w:t xml:space="preserve"> </w:t>
      </w:r>
      <w:r>
        <w:t xml:space="preserve">notes a slight deviation in the handling of missing data points in the secondary endpoints. While not fatal to the study's validity, future research must adhere strictly to the intention-to-treat (ITT) analysis principles mandated by Russian regulatory bodies to ensure the highest level of scientific integrity.</w:t>
      </w:r>
    </w:p>
    <w:bookmarkEnd w:id="21"/>
    <w:bookmarkStart w:id="22" w:name="ethical-compliance-and-patient-safety"/>
    <w:p>
      <w:pPr>
        <w:pStyle w:val="Heading2"/>
      </w:pPr>
      <w:r>
        <w:t xml:space="preserve">3. Ethical Compliance and Patient Safety</w:t>
      </w:r>
    </w:p>
    <w:p>
      <w:pPr>
        <w:pStyle w:val="FirstParagraph"/>
      </w:pPr>
      <w:r>
        <w:t xml:space="preserve">Ethical conduct is non-negotiable in medical research. This section of the</w:t>
      </w:r>
      <w:r>
        <w:t xml:space="preserve"> </w:t>
      </w:r>
      <w:r>
        <w:rPr>
          <w:bCs/>
          <w:b/>
        </w:rPr>
        <w:t xml:space="preserve">Peer Review Report</w:t>
      </w:r>
      <w:r>
        <w:t xml:space="preserve"> </w:t>
      </w:r>
      <w:r>
        <w:t xml:space="preserve">evaluates the subject's adherence to the Declaration of Helsinki and the specific ethical codes enforced by the bioethics committees in</w:t>
      </w:r>
      <w:r>
        <w:t xml:space="preserve"> </w:t>
      </w:r>
      <w:r>
        <w:rPr>
          <w:bCs/>
          <w:b/>
        </w:rPr>
        <w:t xml:space="preserve">Russia, Moscow</w:t>
      </w:r>
      <w:r>
        <w:t xml:space="preserve">.</w:t>
      </w:r>
    </w:p>
    <w:p>
      <w:pPr>
        <w:pStyle w:val="BodyText"/>
      </w:pPr>
      <w:r>
        <w:t xml:space="preserve">The</w:t>
      </w:r>
      <w:r>
        <w:t xml:space="preserve"> </w:t>
      </w:r>
      <w:r>
        <w:rPr>
          <w:bCs/>
          <w:b/>
        </w:rPr>
        <w:t xml:space="preserve">Medical Researcher</w:t>
      </w:r>
      <w:r>
        <w:t xml:space="preserve"> </w:t>
      </w:r>
      <w:r>
        <w:t xml:space="preserve">has maintained an impeccable record regarding informed consent procedures. Documentation reviewed from the Sechenov University clinical trials shows that all participants were fully briefed on potential risks and benefits in their native language. Furthermore, the subject has shown a proactive approach to adverse event reporting, ensuring that the local ethics commission is notified within the required 24-hour window for serious unexpected adverse reactions. This diligence is crucial for maintaining public trust in the medical research sector in Moscow.</w:t>
      </w:r>
    </w:p>
    <w:bookmarkEnd w:id="22"/>
    <w:bookmarkStart w:id="23" w:name="X484e06579257ad886492f5d5af49c42959d6a18"/>
    <w:p>
      <w:pPr>
        <w:pStyle w:val="Heading2"/>
      </w:pPr>
      <w:r>
        <w:t xml:space="preserve">4. Contribution to Local Healthcare Infrastructure</w:t>
      </w:r>
    </w:p>
    <w:p>
      <w:pPr>
        <w:pStyle w:val="FirstParagraph"/>
      </w:pPr>
      <w:r>
        <w:t xml:space="preserve">A significant aspect of this evaluation is the practical application of research findings. In</w:t>
      </w:r>
      <w:r>
        <w:t xml:space="preserve"> </w:t>
      </w:r>
      <w:r>
        <w:rPr>
          <w:bCs/>
          <w:b/>
        </w:rPr>
        <w:t xml:space="preserve">Russia, Moscow</w:t>
      </w:r>
      <w:r>
        <w:t xml:space="preserve">, the gap between theoretical research and clinical practice is a known challenge. This</w:t>
      </w:r>
      <w:r>
        <w:t xml:space="preserve"> </w:t>
      </w:r>
      <w:r>
        <w:rPr>
          <w:bCs/>
          <w:b/>
        </w:rPr>
        <w:t xml:space="preserve">Peer Review Report</w:t>
      </w:r>
      <w:r>
        <w:t xml:space="preserve"> </w:t>
      </w:r>
      <w:r>
        <w:t xml:space="preserve">assesses how effectively the</w:t>
      </w:r>
      <w:r>
        <w:t xml:space="preserve"> </w:t>
      </w:r>
      <w:r>
        <w:rPr>
          <w:bCs/>
          <w:b/>
        </w:rPr>
        <w:t xml:space="preserve">Medical Researcher</w:t>
      </w:r>
      <w:r>
        <w:t xml:space="preserve"> </w:t>
      </w:r>
      <w:r>
        <w:t xml:space="preserve">bridges this gap.</w:t>
      </w:r>
    </w:p>
    <w:p>
      <w:pPr>
        <w:pStyle w:val="BodyText"/>
      </w:pPr>
      <w:r>
        <w:t xml:space="preserve">The subject has successfully collaborated with several municipal hospitals in the Moscow region to implement new screening protocols for hypertension. This translational approach demonstrates a high level of professional maturity. By aligning research goals with the strategic health priorities of the Moscow Department of Health, the researcher has ensured that their work yields tangible benefits for the local population. This alignment is a critical success factor for any medical professional seeking to advance their career within the Russian healthcare system.</w:t>
      </w:r>
    </w:p>
    <w:bookmarkEnd w:id="23"/>
    <w:bookmarkStart w:id="24" w:name="academic-output-and-dissemination"/>
    <w:p>
      <w:pPr>
        <w:pStyle w:val="Heading2"/>
      </w:pPr>
      <w:r>
        <w:t xml:space="preserve">5. Academic Output and Dissemination</w:t>
      </w:r>
    </w:p>
    <w:p>
      <w:pPr>
        <w:pStyle w:val="FirstParagraph"/>
      </w:pPr>
      <w:r>
        <w:t xml:space="preserve">The dissemination of knowledge is a fundamental duty of a</w:t>
      </w:r>
      <w:r>
        <w:t xml:space="preserve"> </w:t>
      </w:r>
      <w:r>
        <w:rPr>
          <w:bCs/>
          <w:b/>
        </w:rPr>
        <w:t xml:space="preserve">Medical Researcher</w:t>
      </w:r>
      <w:r>
        <w:t xml:space="preserve">. The subject has published extensively in both Russian-language journals indexed in eLibrary (elibrary.ru) and international peer-reviewed journals.</w:t>
      </w:r>
    </w:p>
    <w:p>
      <w:pPr>
        <w:pStyle w:val="BodyText"/>
      </w:pPr>
      <w:r>
        <w:t xml:space="preserve">While the volume of publication is impressive, this</w:t>
      </w:r>
      <w:r>
        <w:t xml:space="preserve"> </w:t>
      </w:r>
      <w:r>
        <w:rPr>
          <w:bCs/>
          <w:b/>
        </w:rPr>
        <w:t xml:space="preserve">Peer Review Report</w:t>
      </w:r>
      <w:r>
        <w:t xml:space="preserve"> </w:t>
      </w:r>
      <w:r>
        <w:t xml:space="preserve">suggests a need for greater emphasis on open-access publishing to maximize the reach of the research. Additionally, the subject is encouraged to present more frequently at major conferences held in Moscow, such as the Russian National Medical Congress, to foster dialogue with peers and contribute to the national scientific discourse.</w:t>
      </w:r>
    </w:p>
    <w:bookmarkEnd w:id="24"/>
    <w:bookmarkStart w:id="25" w:name="areas-for-improvement"/>
    <w:p>
      <w:pPr>
        <w:pStyle w:val="Heading2"/>
      </w:pPr>
      <w:r>
        <w:t xml:space="preserve">6. Areas for Improvement</w:t>
      </w:r>
    </w:p>
    <w:p>
      <w:pPr>
        <w:pStyle w:val="FirstParagraph"/>
      </w:pPr>
      <w:r>
        <w:t xml:space="preserve">To maintain the highest standards expected in</w:t>
      </w:r>
      <w:r>
        <w:t xml:space="preserve"> </w:t>
      </w:r>
      <w:r>
        <w:rPr>
          <w:bCs/>
          <w:b/>
        </w:rPr>
        <w:t xml:space="preserve">Russia, Moscow</w:t>
      </w:r>
      <w:r>
        <w:t xml:space="preserve">, the following areas require attention:</w:t>
      </w:r>
    </w:p>
    <w:p>
      <w:pPr>
        <w:numPr>
          <w:ilvl w:val="0"/>
          <w:numId w:val="1001"/>
        </w:numPr>
        <w:pStyle w:val="Compact"/>
      </w:pPr>
      <w:r>
        <w:rPr>
          <w:bCs/>
          <w:b/>
        </w:rPr>
        <w:t xml:space="preserve">Data Management:</w:t>
      </w:r>
      <w:r>
        <w:t xml:space="preserve"> </w:t>
      </w:r>
      <w:r>
        <w:t xml:space="preserve">Adoption of more advanced electronic data capture (EDC) systems to ensure real-time data integrity and compliance with Russian data localization laws.</w:t>
      </w:r>
    </w:p>
    <w:p>
      <w:pPr>
        <w:numPr>
          <w:ilvl w:val="0"/>
          <w:numId w:val="1001"/>
        </w:numPr>
        <w:pStyle w:val="Compact"/>
      </w:pPr>
      <w:r>
        <w:rPr>
          <w:bCs/>
          <w:b/>
        </w:rPr>
        <w:t xml:space="preserve">Interdisciplinary Collaboration:</w:t>
      </w:r>
      <w:r>
        <w:t xml:space="preserve"> </w:t>
      </w:r>
      <w:r>
        <w:t xml:space="preserve">Increased engagement with biostatisticians and bioinformaticians to enhance the complexity and depth of future studies.</w:t>
      </w:r>
    </w:p>
    <w:p>
      <w:pPr>
        <w:numPr>
          <w:ilvl w:val="0"/>
          <w:numId w:val="1001"/>
        </w:numPr>
        <w:pStyle w:val="Compact"/>
      </w:pPr>
      <w:r>
        <w:rPr>
          <w:bCs/>
          <w:b/>
        </w:rPr>
        <w:t xml:space="preserve">Mentorship:</w:t>
      </w:r>
      <w:r>
        <w:t xml:space="preserve"> </w:t>
      </w:r>
      <w:r>
        <w:t xml:space="preserve">Formalizing a mentorship program for junior researchers to help cultivate the next generation of medical scientists in the region.</w:t>
      </w:r>
    </w:p>
    <w:bookmarkEnd w:id="25"/>
    <w:bookmarkStart w:id="26" w:name="final-recommendation"/>
    <w:p>
      <w:pPr>
        <w:pStyle w:val="Heading2"/>
      </w:pPr>
      <w:r>
        <w:t xml:space="preserve">7. Final Recommendation</w:t>
      </w:r>
    </w:p>
    <w:p>
      <w:pPr>
        <w:pStyle w:val="FirstParagraph"/>
      </w:pPr>
      <w:r>
        <w:rPr>
          <w:bCs/>
          <w:b/>
        </w:rPr>
        <w:t xml:space="preserve">Overall Rating:</w:t>
      </w:r>
      <w:r>
        <w:t xml:space="preserve"> </w:t>
      </w:r>
      <w:r>
        <w:t xml:space="preserve">Highly Recommended</w:t>
      </w:r>
    </w:p>
    <w:p>
      <w:pPr>
        <w:pStyle w:val="BodyText"/>
      </w:pPr>
      <w:r>
        <w:rPr>
          <w:bCs/>
          <w:b/>
        </w:rPr>
        <w:t xml:space="preserve">Conclusion:</w:t>
      </w:r>
      <w:r>
        <w:t xml:space="preserve"> </w:t>
      </w:r>
      <w:r>
        <w:t xml:space="preserve">Based on the comprehensive analysis provided in this</w:t>
      </w:r>
      <w:r>
        <w:t xml:space="preserve"> </w:t>
      </w:r>
      <w:r>
        <w:rPr>
          <w:bCs/>
          <w:b/>
        </w:rPr>
        <w:t xml:space="preserve">Peer Review Report</w:t>
      </w:r>
      <w:r>
        <w:t xml:space="preserve">, the subject is deemed a highly competent</w:t>
      </w:r>
      <w:r>
        <w:t xml:space="preserve"> </w:t>
      </w:r>
      <w:r>
        <w:rPr>
          <w:bCs/>
          <w:b/>
        </w:rPr>
        <w:t xml:space="preserve">Medical Researcher</w:t>
      </w:r>
      <w:r>
        <w:t xml:space="preserve">. Their work significantly contributes to the advancement of medical science in</w:t>
      </w:r>
      <w:r>
        <w:t xml:space="preserve"> </w:t>
      </w:r>
      <w:r>
        <w:rPr>
          <w:bCs/>
          <w:b/>
        </w:rPr>
        <w:t xml:space="preserve">Russia, Moscow</w:t>
      </w:r>
      <w:r>
        <w:t xml:space="preserve">. The minor recommendations for improvement are noted but do not detract from their overall excellence. It is recommended that the subject be granted full approval for the proposed grant application and be considered for a leadership position within the regional research council.</w:t>
      </w:r>
    </w:p>
    <w:p>
      <w:pPr>
        <w:pStyle w:val="BodyText"/>
      </w:pPr>
      <w:r>
        <w:rPr>
          <w:bCs/>
          <w:b/>
        </w:rPr>
        <w:t xml:space="preserve">Reviewer Name:</w:t>
      </w:r>
      <w:r>
        <w:t xml:space="preserve"> </w:t>
      </w:r>
      <w:r>
        <w:t xml:space="preserve">Dr. Elena Sokolova</w:t>
      </w:r>
    </w:p>
    <w:p>
      <w:pPr>
        <w:pStyle w:val="BodyText"/>
      </w:pPr>
      <w:r>
        <w:rPr>
          <w:bCs/>
          <w:b/>
        </w:rPr>
        <w:t xml:space="preserve">Title:</w:t>
      </w:r>
      <w:r>
        <w:t xml:space="preserve"> </w:t>
      </w:r>
      <w:r>
        <w:t xml:space="preserve">Chief of Clinical Trials</w:t>
      </w:r>
    </w:p>
    <w:p>
      <w:pPr>
        <w:pStyle w:val="BodyText"/>
      </w:pPr>
      <w:r>
        <w:rPr>
          <w:bCs/>
          <w:b/>
        </w:rPr>
        <w:t xml:space="preserve">Affiliation:</w:t>
      </w:r>
      <w:r>
        <w:t xml:space="preserve"> </w:t>
      </w:r>
      <w:r>
        <w:t xml:space="preserve">Moscow State Medical University</w:t>
      </w:r>
    </w:p>
    <w:p>
      <w:pPr>
        <w:pStyle w:val="BodyText"/>
      </w:pPr>
      <w:r>
        <w:t xml:space="preserve">Signature</w:t>
      </w:r>
    </w:p>
    <w:p>
      <w:pPr>
        <w:pStyle w:val="BodyText"/>
      </w:pPr>
      <w:r>
        <w:t xml:space="preserve">This document is confidential and intended solely for the use of the addressee. Unauthorized distribution is prohibited.</w:t>
      </w:r>
    </w:p>
    <w:p>
      <w:pPr>
        <w:pStyle w:val="BodyText"/>
      </w:pPr>
      <w:r>
        <w:t xml:space="preserve">© 2023 Medical Research Evaluation Board, Moscow,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