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t xml:space="preserve">Evaluation of Medical Researcher Performance and Scientific Contribution</w:t>
      </w:r>
    </w:p>
    <w:p>
      <w:pPr>
        <w:pStyle w:val="BodyText"/>
      </w:pPr>
      <w:r>
        <w:t xml:space="preserve">Location:</w:t>
      </w:r>
      <w:r>
        <w:t xml:space="preserve"> </w:t>
      </w:r>
      <w:r>
        <w:t xml:space="preserve">South Korea Seoul</w:t>
      </w:r>
    </w:p>
    <w:p>
      <w:pPr>
        <w:pStyle w:val="BodyText"/>
      </w:pPr>
      <w:r>
        <w:t xml:space="preserve">Institution:</w:t>
      </w:r>
      <w:r>
        <w:t xml:space="preserve"> </w:t>
      </w:r>
      <w:r>
        <w:t xml:space="preserve">Seoul National University Hospital / Medical Research Institute</w:t>
      </w:r>
    </w:p>
    <w:p>
      <w:pPr>
        <w:pStyle w:val="BodyText"/>
      </w:pPr>
      <w:r>
        <w:t xml:space="preserve">Date:</w:t>
      </w:r>
      <w:r>
        <w:t xml:space="preserve"> </w:t>
      </w:r>
      <w:r>
        <w:t xml:space="preserve">October 24, 2023</w:t>
      </w:r>
    </w:p>
    <w:p>
      <w:pPr>
        <w:pStyle w:val="BodyText"/>
      </w:pPr>
      <w:r>
        <w:t xml:space="preserve">Report ID:</w:t>
      </w:r>
      <w:r>
        <w:t xml:space="preserve"> </w:t>
      </w:r>
      <w:r>
        <w:t xml:space="preserve">PR-SEOUL-2023-089</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 the professional activities, scientific output, and ethical compliance of the subject</w:t>
      </w:r>
      <w:r>
        <w:t xml:space="preserve"> </w:t>
      </w:r>
      <w:r>
        <w:rPr>
          <w:bCs/>
          <w:b/>
        </w:rPr>
        <w:t xml:space="preserve">Medical Researcher</w:t>
      </w:r>
      <w:r>
        <w:t xml:space="preserve">. The evaluation is conducted within the rigorous academic and clinical framework characteristic of</w:t>
      </w:r>
      <w:r>
        <w:t xml:space="preserve"> </w:t>
      </w:r>
      <w:r>
        <w:rPr>
          <w:bCs/>
          <w:b/>
        </w:rPr>
        <w:t xml:space="preserve">South Korea Seoul</w:t>
      </w:r>
      <w:r>
        <w:t xml:space="preserve">, a global hub for biomedical innovation. The review panel has examined the researcher's contributions to clinical trials, genomic studies, and public health initiatives over the past fiscal year. The overall consensus is that the researcher demonstrates exceptional dedication to advancing medical science while adhering to the strict regulatory standards enforced by the Ministry of Food and Drug Safety (MFDS) and the Korean Ministry of Health and Welfare.</w:t>
      </w:r>
    </w:p>
    <w:bookmarkEnd w:id="21"/>
    <w:bookmarkStart w:id="22" w:name="researcher-profile-and-scope"/>
    <w:p>
      <w:pPr>
        <w:pStyle w:val="Heading2"/>
      </w:pPr>
      <w:r>
        <w:t xml:space="preserve">2. Researcher Profile and Scope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rPr>
                <w:bCs/>
                <w:b/>
              </w:rPr>
              <w:t xml:space="preserve">Name</w:t>
            </w:r>
          </w:p>
        </w:tc>
        <w:tc>
          <w:tcPr/>
          <w:p>
            <w:pPr>
              <w:pStyle w:val="Compact"/>
              <w:jc w:val="left"/>
            </w:pPr>
            <w:r>
              <w:t xml:space="preserve">Dr. [Name Redacted for Privacy]</w:t>
            </w:r>
          </w:p>
        </w:tc>
      </w:tr>
      <w:tr>
        <w:tc>
          <w:tcPr/>
          <w:p>
            <w:pPr>
              <w:pStyle w:val="Compact"/>
              <w:jc w:val="left"/>
            </w:pPr>
            <w:r>
              <w:rPr>
                <w:bCs/>
                <w:b/>
              </w:rPr>
              <w:t xml:space="preserve">Role</w:t>
            </w:r>
          </w:p>
        </w:tc>
        <w:tc>
          <w:tcPr/>
          <w:p>
            <w:pPr>
              <w:pStyle w:val="Compact"/>
              <w:jc w:val="left"/>
            </w:pPr>
            <w:r>
              <w:t xml:space="preserve">Senior Medical Researcher</w:t>
            </w:r>
          </w:p>
        </w:tc>
      </w:tr>
      <w:tr>
        <w:tc>
          <w:tcPr/>
          <w:p>
            <w:pPr>
              <w:pStyle w:val="Compact"/>
              <w:jc w:val="left"/>
            </w:pPr>
            <w:r>
              <w:rPr>
                <w:bCs/>
                <w:b/>
              </w:rPr>
              <w:t xml:space="preserve">Department</w:t>
            </w:r>
          </w:p>
        </w:tc>
        <w:tc>
          <w:tcPr/>
          <w:p>
            <w:pPr>
              <w:pStyle w:val="Compact"/>
              <w:jc w:val="left"/>
            </w:pPr>
            <w:r>
              <w:t xml:space="preserve">Department of Internal Medicine / Biomedical Research Center</w:t>
            </w:r>
          </w:p>
        </w:tc>
      </w:tr>
      <w:tr>
        <w:tc>
          <w:tcPr/>
          <w:p>
            <w:pPr>
              <w:pStyle w:val="Compact"/>
              <w:jc w:val="left"/>
            </w:pPr>
            <w:r>
              <w:rPr>
                <w:bCs/>
                <w:b/>
              </w:rPr>
              <w:t xml:space="preserve">Location</w:t>
            </w:r>
          </w:p>
        </w:tc>
        <w:tc>
          <w:tcPr/>
          <w:p>
            <w:pPr>
              <w:pStyle w:val="Compact"/>
              <w:jc w:val="left"/>
            </w:pPr>
            <w:r>
              <w:t xml:space="preserve">Seoul, South Korea</w:t>
            </w:r>
          </w:p>
        </w:tc>
      </w:tr>
      <w:tr>
        <w:tc>
          <w:tcPr/>
          <w:p>
            <w:pPr>
              <w:pStyle w:val="Compact"/>
              <w:jc w:val="left"/>
            </w:pPr>
            <w:r>
              <w:rPr>
                <w:bCs/>
                <w:b/>
              </w:rPr>
              <w:t xml:space="preserve">Primary Focus</w:t>
            </w:r>
          </w:p>
        </w:tc>
        <w:tc>
          <w:tcPr/>
          <w:p>
            <w:pPr>
              <w:pStyle w:val="Compact"/>
              <w:jc w:val="left"/>
            </w:pPr>
            <w:r>
              <w:t xml:space="preserve">Oncology, Immunotherapy, and Clinical Data Analysis</w:t>
            </w:r>
          </w:p>
        </w:tc>
      </w:tr>
    </w:tbl>
    <w:p>
      <w:pPr>
        <w:pStyle w:val="BodyText"/>
      </w:pPr>
      <w:r>
        <w:t xml:space="preserve">The scope of this review encompasses the</w:t>
      </w:r>
      <w:r>
        <w:t xml:space="preserve"> </w:t>
      </w:r>
      <w:r>
        <w:rPr>
          <w:bCs/>
          <w:b/>
        </w:rPr>
        <w:t xml:space="preserve">Medical Researcher</w:t>
      </w:r>
      <w:r>
        <w:t xml:space="preserve">'s ability to secure funding, manage multidisciplinary teams, publish in high-impact journals, and maintain patient safety protocols. Given the competitive nature of the research landscape in</w:t>
      </w:r>
      <w:r>
        <w:t xml:space="preserve"> </w:t>
      </w:r>
      <w:r>
        <w:rPr>
          <w:bCs/>
          <w:b/>
        </w:rPr>
        <w:t xml:space="preserve">South Korea Seoul</w:t>
      </w:r>
      <w:r>
        <w:t xml:space="preserve">, the evaluation places significant weight on international collaboration and the translation of basic science into clinical applications.</w:t>
      </w:r>
    </w:p>
    <w:bookmarkEnd w:id="22"/>
    <w:bookmarkStart w:id="23" w:name="scientific-merit-and-innovation"/>
    <w:p>
      <w:pPr>
        <w:pStyle w:val="Heading2"/>
      </w:pPr>
      <w:r>
        <w:t xml:space="preserve">3. Scientific Merit and Innovation</w:t>
      </w:r>
    </w:p>
    <w:p>
      <w:pPr>
        <w:pStyle w:val="FirstParagraph"/>
      </w:pPr>
      <w:r>
        <w:t xml:space="preserve">The</w:t>
      </w:r>
      <w:r>
        <w:t xml:space="preserve"> </w:t>
      </w:r>
      <w:r>
        <w:rPr>
          <w:bCs/>
          <w:b/>
        </w:rPr>
        <w:t xml:space="preserve">Medical Researcher</w:t>
      </w:r>
      <w:r>
        <w:t xml:space="preserve"> </w:t>
      </w:r>
      <w:r>
        <w:t xml:space="preserve">has demonstrated a high level of scientific rigor. The review panel analyzed three major grant proposals and two ongoing clinical trials. The methodology employed in the recent study on CAR-T cell therapy was particularly noteworthy for its precision and alignment with global standards.</w:t>
      </w:r>
    </w:p>
    <w:p>
      <w:pPr>
        <w:numPr>
          <w:ilvl w:val="0"/>
          <w:numId w:val="1001"/>
        </w:numPr>
        <w:pStyle w:val="Compact"/>
      </w:pPr>
      <w:r>
        <w:rPr>
          <w:bCs/>
          <w:b/>
        </w:rPr>
        <w:t xml:space="preserve">Innovation:</w:t>
      </w:r>
      <w:r>
        <w:t xml:space="preserve"> </w:t>
      </w:r>
      <w:r>
        <w:t xml:space="preserve">The researcher introduced novel biomarkers for early detection of gastric cancer, a critical area of focus in Korean medical research.</w:t>
      </w:r>
    </w:p>
    <w:p>
      <w:pPr>
        <w:numPr>
          <w:ilvl w:val="0"/>
          <w:numId w:val="1001"/>
        </w:numPr>
        <w:pStyle w:val="Compact"/>
      </w:pPr>
      <w:r>
        <w:rPr>
          <w:bCs/>
          <w:b/>
        </w:rPr>
        <w:t xml:space="preserve">Methodology:</w:t>
      </w:r>
      <w:r>
        <w:t xml:space="preserve"> </w:t>
      </w:r>
      <w:r>
        <w:t xml:space="preserve">Statistical analysis was robust, utilizing advanced machine learning algorithms to interpret patient data, reflecting the technological sophistication expected in Seoul's top-tier institutions.</w:t>
      </w:r>
    </w:p>
    <w:p>
      <w:pPr>
        <w:numPr>
          <w:ilvl w:val="0"/>
          <w:numId w:val="1001"/>
        </w:numPr>
        <w:pStyle w:val="Compact"/>
      </w:pPr>
      <w:r>
        <w:rPr>
          <w:bCs/>
          <w:b/>
        </w:rPr>
        <w:t xml:space="preserve">Impact:</w:t>
      </w:r>
      <w:r>
        <w:t xml:space="preserve"> </w:t>
      </w:r>
      <w:r>
        <w:t xml:space="preserve">Preliminary findings have been presented at the Korean Society of Internal Medicine annual conference, generating significant interest from international peers.</w:t>
      </w:r>
    </w:p>
    <w:p>
      <w:pPr>
        <w:pStyle w:val="FirstParagraph"/>
      </w:pPr>
      <w:r>
        <w:t xml:space="preserve">The</w:t>
      </w:r>
      <w:r>
        <w:t xml:space="preserve"> </w:t>
      </w:r>
      <w:r>
        <w:rPr>
          <w:bCs/>
          <w:b/>
        </w:rPr>
        <w:t xml:space="preserve">Peer Review Report</w:t>
      </w:r>
      <w:r>
        <w:t xml:space="preserve"> </w:t>
      </w:r>
      <w:r>
        <w:t xml:space="preserve">concludes that the scientific merit of the work is outstanding. The researcher effectively bridges the gap between theoretical research and practical clinical application, a key requirement for medical professionals operating in the dense healthcare ecosystem of</w:t>
      </w:r>
      <w:r>
        <w:t xml:space="preserve"> </w:t>
      </w:r>
      <w:r>
        <w:rPr>
          <w:bCs/>
          <w:b/>
        </w:rPr>
        <w:t xml:space="preserve">South Korea Seoul</w:t>
      </w:r>
      <w:r>
        <w:t xml:space="preserve">.</w:t>
      </w:r>
    </w:p>
    <w:bookmarkEnd w:id="23"/>
    <w:bookmarkStart w:id="24" w:name="X09ba96c5837e590dcbfb7ffd0f7c2db166527cb"/>
    <w:p>
      <w:pPr>
        <w:pStyle w:val="Heading2"/>
      </w:pPr>
      <w:r>
        <w:t xml:space="preserve">4. Ethical Compliance and Regulatory Adherence</w:t>
      </w:r>
    </w:p>
    <w:p>
      <w:pPr>
        <w:pStyle w:val="FirstParagraph"/>
      </w:pPr>
      <w:r>
        <w:t xml:space="preserve">Ethical conduct is paramount in medical research. This section evaluates the</w:t>
      </w:r>
      <w:r>
        <w:t xml:space="preserve"> </w:t>
      </w:r>
      <w:r>
        <w:rPr>
          <w:bCs/>
          <w:b/>
        </w:rPr>
        <w:t xml:space="preserve">Medical Researcher</w:t>
      </w:r>
      <w:r>
        <w:t xml:space="preserve">'s compliance with the Declaration of Helsinki and local regulations set by the Institutional Review Board (IRB) in Seoul.</w:t>
      </w:r>
    </w:p>
    <w:p>
      <w:pPr>
        <w:pStyle w:val="BodyText"/>
      </w:pPr>
      <w:r>
        <w:t xml:space="preserve">The review found no violations of ethical standards. The researcher has maintained meticulous records of informed consent processes, ensuring that all participants in clinical trials fully understand the risks and benefits. Furthermore, data privacy protocols were strictly followed in accordance with the Personal Information Protection Act of South Korea. The transparency in reporting adverse events demonstrates a high level of professional integrity.</w:t>
      </w:r>
    </w:p>
    <w:bookmarkEnd w:id="24"/>
    <w:bookmarkStart w:id="25" w:name="collaboration-and-leadership"/>
    <w:p>
      <w:pPr>
        <w:pStyle w:val="Heading2"/>
      </w:pPr>
      <w:r>
        <w:t xml:space="preserve">5. Collaboration and Leadership</w:t>
      </w:r>
    </w:p>
    <w:p>
      <w:pPr>
        <w:pStyle w:val="FirstParagraph"/>
      </w:pPr>
      <w:r>
        <w:t xml:space="preserve">Modern medical research is inherently collaborative. The</w:t>
      </w:r>
      <w:r>
        <w:t xml:space="preserve"> </w:t>
      </w:r>
      <w:r>
        <w:rPr>
          <w:bCs/>
          <w:b/>
        </w:rPr>
        <w:t xml:space="preserve">Medical Researcher</w:t>
      </w:r>
      <w:r>
        <w:t xml:space="preserve"> </w:t>
      </w:r>
      <w:r>
        <w:t xml:space="preserve">has shown strong leadership skills in managing a diverse team of junior researchers, nurses, and data analysts. The review highlights successful collaborations with other major hospitals in Seoul, such as Asan Medical Center and Severance Hospital, fostering a network of knowledge exchange.</w:t>
      </w:r>
    </w:p>
    <w:p>
      <w:pPr>
        <w:pStyle w:val="BodyText"/>
      </w:pPr>
      <w:r>
        <w:t xml:space="preserve">Additionally, the researcher has actively mentored PhD students and postdoctoral fellows, contributing to the development of the next generation of scientists in South Korea. This commitment to education and team building is highly valued in the academic culture of Seoul.</w:t>
      </w:r>
    </w:p>
    <w:bookmarkEnd w:id="25"/>
    <w:bookmarkStart w:id="26" w:name="areas-for-improvement"/>
    <w:p>
      <w:pPr>
        <w:pStyle w:val="Heading2"/>
      </w:pPr>
      <w:r>
        <w:t xml:space="preserve">6. Areas for Improvement</w:t>
      </w:r>
    </w:p>
    <w:p>
      <w:pPr>
        <w:pStyle w:val="FirstParagraph"/>
      </w:pPr>
      <w:r>
        <w:t xml:space="preserve">While the performance is largely exemplary, the</w:t>
      </w:r>
      <w:r>
        <w:t xml:space="preserve"> </w:t>
      </w:r>
      <w:r>
        <w:rPr>
          <w:bCs/>
          <w:b/>
        </w:rPr>
        <w:t xml:space="preserve">Peer Review Report</w:t>
      </w:r>
      <w:r>
        <w:t xml:space="preserve"> </w:t>
      </w:r>
      <w:r>
        <w:t xml:space="preserve">identifies a few areas for potential growth:</w:t>
      </w:r>
    </w:p>
    <w:p>
      <w:pPr>
        <w:numPr>
          <w:ilvl w:val="0"/>
          <w:numId w:val="1002"/>
        </w:numPr>
        <w:pStyle w:val="Compact"/>
      </w:pPr>
      <w:r>
        <w:rPr>
          <w:bCs/>
          <w:b/>
        </w:rPr>
        <w:t xml:space="preserve">International Publication Strategy:</w:t>
      </w:r>
      <w:r>
        <w:t xml:space="preserve"> </w:t>
      </w:r>
      <w:r>
        <w:t xml:space="preserve">While domestic publications are strong, increasing the volume of publications in top-tier international journals (e.g., The Lancet, NEJM) would further elevate the researcher's global profile.</w:t>
      </w:r>
    </w:p>
    <w:p>
      <w:pPr>
        <w:numPr>
          <w:ilvl w:val="0"/>
          <w:numId w:val="1002"/>
        </w:numPr>
        <w:pStyle w:val="Compact"/>
      </w:pPr>
      <w:r>
        <w:rPr>
          <w:bCs/>
          <w:b/>
        </w:rPr>
        <w:t xml:space="preserve">Grant Diversity:</w:t>
      </w:r>
      <w:r>
        <w:t xml:space="preserve"> </w:t>
      </w:r>
      <w:r>
        <w:t xml:space="preserve">Expanding funding sources beyond government grants to include private sector partnerships could enhance the sustainability of long-term projects.</w:t>
      </w:r>
    </w:p>
    <w:bookmarkEnd w:id="26"/>
    <w:bookmarkStart w:id="27" w:name="final-recommendation-and-score"/>
    <w:p>
      <w:pPr>
        <w:pStyle w:val="Heading2"/>
      </w:pPr>
      <w:r>
        <w:t xml:space="preserve">7. Final Recommendation and Score</w:t>
      </w:r>
    </w:p>
    <w:p>
      <w:pPr>
        <w:pStyle w:val="FirstParagraph"/>
      </w:pPr>
      <w:r>
        <w:rPr>
          <w:bCs/>
          <w:b/>
        </w:rPr>
        <w:t xml:space="preserve">Overall Evaluation Score:</w:t>
      </w:r>
    </w:p>
    <w:p>
      <w:pPr>
        <w:pStyle w:val="BodyText"/>
      </w:pPr>
      <w:r>
        <w:t xml:space="preserve">92 / 100</w:t>
      </w:r>
    </w:p>
    <w:p>
      <w:pPr>
        <w:pStyle w:val="BodyText"/>
      </w:pPr>
      <w:r>
        <w:rPr>
          <w:bCs/>
          <w:b/>
        </w:rPr>
        <w:t xml:space="preserve">Rating:</w:t>
      </w:r>
      <w:r>
        <w:t xml:space="preserve"> </w:t>
      </w:r>
      <w:r>
        <w:t xml:space="preserve">Excellent</w:t>
      </w:r>
    </w:p>
    <w:p>
      <w:pPr>
        <w:pStyle w:val="BodyText"/>
      </w:pPr>
      <w:r>
        <w:t xml:space="preserve">Based on the comprehensive analysis of scientific output, ethical compliance, and leadership capabilities, the review panel recommends the continued support and funding of this</w:t>
      </w:r>
      <w:r>
        <w:t xml:space="preserve"> </w:t>
      </w:r>
      <w:r>
        <w:rPr>
          <w:bCs/>
          <w:b/>
        </w:rPr>
        <w:t xml:space="preserve">Medical Researcher</w:t>
      </w:r>
      <w:r>
        <w:t xml:space="preserve">. The individual is a vital asset to the medical research community in</w:t>
      </w:r>
      <w:r>
        <w:t xml:space="preserve"> </w:t>
      </w:r>
      <w:r>
        <w:rPr>
          <w:bCs/>
          <w:b/>
        </w:rPr>
        <w:t xml:space="preserve">South Korea Seoul</w:t>
      </w:r>
      <w:r>
        <w:t xml:space="preserve"> </w:t>
      </w:r>
      <w:r>
        <w:t xml:space="preserve">and is well-positioned to lead future breakthroughs in healthcare.</w:t>
      </w:r>
    </w:p>
    <w:bookmarkEnd w:id="27"/>
    <w:p>
      <w:pPr>
        <w:pStyle w:val="BodyText"/>
      </w:pPr>
      <w:r>
        <w:rPr>
          <w:bCs/>
          <w:b/>
        </w:rPr>
        <w:t xml:space="preserve">Lead Reviewer:</w:t>
      </w:r>
    </w:p>
    <w:p>
      <w:pPr>
        <w:pStyle w:val="BodyText"/>
      </w:pPr>
      <w:r>
        <w:t xml:space="preserve">Prof. [Name Redacted]</w:t>
      </w:r>
    </w:p>
    <w:p>
      <w:pPr>
        <w:pStyle w:val="BodyText"/>
      </w:pPr>
      <w:r>
        <w:t xml:space="preserve">Chair, Department of Research Ethics</w:t>
      </w:r>
    </w:p>
    <w:p>
      <w:pPr>
        <w:pStyle w:val="BodyText"/>
      </w:pPr>
      <w:r>
        <w:rPr>
          <w:bCs/>
          <w:b/>
        </w:rPr>
        <w:t xml:space="preserve">Co-Reviewer:</w:t>
      </w:r>
    </w:p>
    <w:p>
      <w:pPr>
        <w:pStyle w:val="BodyText"/>
      </w:pPr>
      <w:r>
        <w:t xml:space="preserve">Dr. [Name Redacted]</w:t>
      </w:r>
    </w:p>
    <w:p>
      <w:pPr>
        <w:pStyle w:val="BodyText"/>
      </w:pPr>
      <w:r>
        <w:t xml:space="preserve">Director, Clinical Trials Unit</w:t>
      </w:r>
    </w:p>
    <w:p>
      <w:pPr>
        <w:pStyle w:val="BodyText"/>
      </w:pPr>
      <w:r>
        <w:t xml:space="preserve">This document is an official Peer Review Report generated for internal evaluation purposes within the medical research institutions of Seoul, South Korea. Confidentiality is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Evaluation</dc:title>
  <dc:creator/>
  <dc:language>en</dc:language>
  <cp:keywords/>
  <dcterms:created xsi:type="dcterms:W3CDTF">2026-10-10T03:21:29Z</dcterms:created>
  <dcterms:modified xsi:type="dcterms:W3CDTF">2026-10-10T03:21:29Z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