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Comprehensive Evaluation of Research Excellence and Clinical Impact</w:t>
      </w:r>
    </w:p>
    <w:bookmarkEnd w:id="20"/>
    <w:p>
      <w:pPr>
        <w:pStyle w:val="BodyText"/>
      </w:pPr>
      <w:r>
        <w:rPr>
          <w:bCs/>
          <w:b/>
        </w:rPr>
        <w:t xml:space="preserve">Review Date:</w:t>
      </w:r>
      <w:r>
        <w:t xml:space="preserve"> </w:t>
      </w:r>
      <w:r>
        <w:t xml:space="preserve">October 24, 2023</w:t>
      </w:r>
    </w:p>
    <w:p>
      <w:pPr>
        <w:pStyle w:val="BodyText"/>
      </w:pPr>
      <w:r>
        <w:rPr>
          <w:bCs/>
          <w:b/>
        </w:rPr>
        <w:t xml:space="preserve">Review ID:</w:t>
      </w:r>
      <w:r>
        <w:t xml:space="preserve"> </w:t>
      </w:r>
      <w:r>
        <w:t xml:space="preserve">TH-BKK-MR-2023-089</w:t>
      </w:r>
    </w:p>
    <w:p>
      <w:pPr>
        <w:pStyle w:val="BodyText"/>
      </w:pPr>
      <w:r>
        <w:rPr>
          <w:bCs/>
          <w:b/>
        </w:rPr>
        <w:t xml:space="preserve">Subject Role:</w:t>
      </w:r>
      <w:r>
        <w:t xml:space="preserve"> </w:t>
      </w:r>
      <w:r>
        <w:t xml:space="preserve">Senior Medical Researcher</w:t>
      </w:r>
    </w:p>
    <w:p>
      <w:pPr>
        <w:pStyle w:val="BodyText"/>
      </w:pPr>
      <w:r>
        <w:rPr>
          <w:bCs/>
          <w:b/>
        </w:rPr>
        <w:t xml:space="preserve">Location:</w:t>
      </w:r>
      <w:r>
        <w:t xml:space="preserve"> </w:t>
      </w:r>
      <w:r>
        <w:t xml:space="preserve">Thailand Bangkok</w:t>
      </w:r>
    </w:p>
    <w:p>
      <w:pPr>
        <w:pStyle w:val="BodyText"/>
      </w:pPr>
      <w:r>
        <w:rPr>
          <w:bCs/>
          <w:b/>
        </w:rPr>
        <w:t xml:space="preserve">Institution:</w:t>
      </w:r>
      <w:r>
        <w:t xml:space="preserve"> </w:t>
      </w:r>
      <w:r>
        <w:t xml:space="preserve">Bangkok Center for Advanced Medical Research</w:t>
      </w:r>
    </w:p>
    <w:p>
      <w:pPr>
        <w:pStyle w:val="BodyText"/>
      </w:pPr>
      <w:r>
        <w:rPr>
          <w:bCs/>
          <w:b/>
        </w:rPr>
        <w:t xml:space="preserve">Reviewer Panel:</w:t>
      </w:r>
      <w:r>
        <w:t xml:space="preserve"> </w:t>
      </w:r>
      <w:r>
        <w:t xml:space="preserve">Independent Ethics &amp; Science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capabilities, research output, and ethical compliance of the designated</w:t>
      </w:r>
      <w:r>
        <w:t xml:space="preserve"> </w:t>
      </w:r>
      <w:r>
        <w:rPr>
          <w:bCs/>
          <w:b/>
        </w:rPr>
        <w:t xml:space="preserve">Medical Researcher</w:t>
      </w:r>
      <w:r>
        <w:t xml:space="preserve">. The evaluation focuses specifically on the researcher's contributions within the dynamic healthcare landscape of</w:t>
      </w:r>
      <w:r>
        <w:t xml:space="preserve"> </w:t>
      </w:r>
      <w:r>
        <w:rPr>
          <w:bCs/>
          <w:b/>
        </w:rPr>
        <w:t xml:space="preserve">Thailand Bangkok</w:t>
      </w:r>
      <w:r>
        <w:t xml:space="preserve">. As a global hub for medical tourism and clinical innovation, Bangkok demands a rigorous standard of scientific inquiry. This report analyzes the researcher's ability to navigate local regulatory frameworks, collaborate with international partners, and produce high-impact data relevant to Southeast Asian demographics.</w:t>
      </w:r>
    </w:p>
    <w:bookmarkEnd w:id="21"/>
    <w:bookmarkStart w:id="22" w:name="X1f16090a1a6ad453d13e6fe9be020a2aa1a6af1"/>
    <w:p>
      <w:pPr>
        <w:pStyle w:val="Heading2"/>
      </w:pPr>
      <w:r>
        <w:t xml:space="preserve">2. Research Methodology and Scientific Rigor</w:t>
      </w:r>
    </w:p>
    <w:p>
      <w:pPr>
        <w:pStyle w:val="FirstParagraph"/>
      </w:pPr>
      <w:r>
        <w:t xml:space="preserve">The core competency of any</w:t>
      </w:r>
      <w:r>
        <w:t xml:space="preserve"> </w:t>
      </w:r>
      <w:r>
        <w:rPr>
          <w:bCs/>
          <w:b/>
        </w:rPr>
        <w:t xml:space="preserve">Medical Researcher</w:t>
      </w:r>
      <w:r>
        <w:t xml:space="preserve"> </w:t>
      </w:r>
      <w:r>
        <w:t xml:space="preserve">lies in the robustness of their methodology. In the context of</w:t>
      </w:r>
      <w:r>
        <w:t xml:space="preserve"> </w:t>
      </w:r>
      <w:r>
        <w:rPr>
          <w:bCs/>
          <w:b/>
        </w:rPr>
        <w:t xml:space="preserve">Thailand Bangkok</w:t>
      </w:r>
      <w:r>
        <w:t xml:space="preserve">, where multi-center trials are common, the subject has demonstrated exceptional skill in study design. The review panel examined three major clinical trials conducted over the past 24 months.</w:t>
      </w:r>
    </w:p>
    <w:p>
      <w:pPr>
        <w:pStyle w:val="BodyText"/>
      </w:pPr>
      <w:r>
        <w:t xml:space="preserve">The researcher successfully integrated randomized controlled trial (RCT) standards with the specific logistical realities of Bangkok's hospital networks. Notably, the protocol for the recent cardiovascular study showed a high degree of statistical power and appropriate sample size calculation, accounting for the diverse genetic and lifestyle factors prevalent in the Thai population. The data collection methods were transparent, reproducible, and aligned with Good Clinical Practice (GCP) guidelines mandated by the Thai Ministry of Public Health.</w:t>
      </w:r>
    </w:p>
    <w:bookmarkEnd w:id="22"/>
    <w:bookmarkStart w:id="23" w:name="ethical-compliance-and-patient-safety"/>
    <w:p>
      <w:pPr>
        <w:pStyle w:val="Heading2"/>
      </w:pPr>
      <w:r>
        <w:t xml:space="preserve">3. Ethical Compliance and Patient Safety</w:t>
      </w:r>
    </w:p>
    <w:p>
      <w:pPr>
        <w:pStyle w:val="FirstParagraph"/>
      </w:pPr>
      <w:r>
        <w:t xml:space="preserve">Ethical integrity is paramount in medical research. This</w:t>
      </w:r>
      <w:r>
        <w:t xml:space="preserve"> </w:t>
      </w:r>
      <w:r>
        <w:rPr>
          <w:bCs/>
          <w:b/>
        </w:rPr>
        <w:t xml:space="preserve">Peer Review Report</w:t>
      </w:r>
      <w:r>
        <w:t xml:space="preserve"> </w:t>
      </w:r>
      <w:r>
        <w:t xml:space="preserve">places significant weight on the researcher's adherence to the Declaration of Helsinki and local Thai ethical standards. The</w:t>
      </w:r>
      <w:r>
        <w:t xml:space="preserve"> </w:t>
      </w:r>
      <w:r>
        <w:rPr>
          <w:bCs/>
          <w:b/>
        </w:rPr>
        <w:t xml:space="preserve">Medical Researcher</w:t>
      </w:r>
      <w:r>
        <w:t xml:space="preserve"> </w:t>
      </w:r>
      <w:r>
        <w:t xml:space="preserve">has maintained an impeccable record regarding informed consent processes.</w:t>
      </w:r>
    </w:p>
    <w:p>
      <w:pPr>
        <w:pStyle w:val="BodyText"/>
      </w:pPr>
      <w:r>
        <w:t xml:space="preserve">Operating in</w:t>
      </w:r>
      <w:r>
        <w:t xml:space="preserve"> </w:t>
      </w:r>
      <w:r>
        <w:rPr>
          <w:bCs/>
          <w:b/>
        </w:rPr>
        <w:t xml:space="preserve">Thailand Bangkok</w:t>
      </w:r>
      <w:r>
        <w:t xml:space="preserve"> </w:t>
      </w:r>
      <w:r>
        <w:t xml:space="preserve">requires cultural sensitivity and linguistic precision in patient communication. The researcher has implemented bilingual consent forms (Thai and English) that are accessible to participants of varying literacy levels. Furthermore, the researcher actively engages with the Institutional Review Board (IRB) at Bangkok-based universities, ensuring that all studies prioritize patient safety and data privacy in accordance with Thailand's Personal Data Protection Act (PDPA).</w:t>
      </w:r>
    </w:p>
    <w:bookmarkEnd w:id="23"/>
    <w:bookmarkStart w:id="24" w:name="impact-on-local-and-global-health"/>
    <w:p>
      <w:pPr>
        <w:pStyle w:val="Heading2"/>
      </w:pPr>
      <w:r>
        <w:t xml:space="preserve">4. Impact on Local and Global Health</w:t>
      </w:r>
    </w:p>
    <w:p>
      <w:pPr>
        <w:pStyle w:val="FirstParagraph"/>
      </w:pPr>
      <w:r>
        <w:t xml:space="preserve">A critical metric for this evaluation is the tangible impact of the research. The</w:t>
      </w:r>
      <w:r>
        <w:t xml:space="preserve"> </w:t>
      </w:r>
      <w:r>
        <w:rPr>
          <w:bCs/>
          <w:b/>
        </w:rPr>
        <w:t xml:space="preserve">Medical Researcher</w:t>
      </w:r>
      <w:r>
        <w:t xml:space="preserve"> </w:t>
      </w:r>
      <w:r>
        <w:t xml:space="preserve">has focused on diseases with high prevalence in the region, including dengue fever, non-communicable diseases (NCDs), and tropical infectious diseases.</w:t>
      </w:r>
    </w:p>
    <w:p>
      <w:pPr>
        <w:pStyle w:val="BodyText"/>
      </w:pPr>
      <w:r>
        <w:t xml:space="preserve">By conducting research in</w:t>
      </w:r>
      <w:r>
        <w:t xml:space="preserve"> </w:t>
      </w:r>
      <w:r>
        <w:rPr>
          <w:bCs/>
          <w:b/>
        </w:rPr>
        <w:t xml:space="preserve">Thailand Bangkok</w:t>
      </w:r>
      <w:r>
        <w:t xml:space="preserve">, the subject has contributed valuable data that bridges the gap between Western medical models and Asian clinical presentations. Their recent publication in a high-impact journal regarding diabetes management in Southeast Asia has been cited by regional health policymakers. This demonstrates that the researcher is not only generating data but is also influencing public health strategies within the Kingdom of Thailand.</w:t>
      </w:r>
    </w:p>
    <w:bookmarkEnd w:id="24"/>
    <w:bookmarkStart w:id="25" w:name="collaboration-and-leadership"/>
    <w:p>
      <w:pPr>
        <w:pStyle w:val="Heading2"/>
      </w:pPr>
      <w:r>
        <w:t xml:space="preserve">5. Collaboration and Leadership</w:t>
      </w:r>
    </w:p>
    <w:p>
      <w:pPr>
        <w:pStyle w:val="FirstParagraph"/>
      </w:pPr>
      <w:r>
        <w:t xml:space="preserve">Modern medical research is inherently collaborative. This</w:t>
      </w:r>
      <w:r>
        <w:t xml:space="preserve"> </w:t>
      </w:r>
      <w:r>
        <w:rPr>
          <w:bCs/>
          <w:b/>
        </w:rPr>
        <w:t xml:space="preserve">Peer Review Report</w:t>
      </w:r>
      <w:r>
        <w:t xml:space="preserve"> </w:t>
      </w:r>
      <w:r>
        <w:t xml:space="preserve">highlights the subject's ability to lead multidisciplinary teams. The</w:t>
      </w:r>
      <w:r>
        <w:t xml:space="preserve"> </w:t>
      </w:r>
      <w:r>
        <w:rPr>
          <w:bCs/>
          <w:b/>
        </w:rPr>
        <w:t xml:space="preserve">Medical Researcher</w:t>
      </w:r>
      <w:r>
        <w:t xml:space="preserve"> </w:t>
      </w:r>
      <w:r>
        <w:t xml:space="preserve">has fostered strong partnerships between private hospitals in Bangkok and government research institutes.</w:t>
      </w:r>
    </w:p>
    <w:p>
      <w:pPr>
        <w:pStyle w:val="BodyText"/>
      </w:pPr>
      <w:r>
        <w:t xml:space="preserve">The researcher has also played a pivotal role in mentoring junior scientists and medical students in</w:t>
      </w:r>
      <w:r>
        <w:t xml:space="preserve"> </w:t>
      </w:r>
      <w:r>
        <w:rPr>
          <w:bCs/>
          <w:b/>
        </w:rPr>
        <w:t xml:space="preserve">Thailand Bangkok</w:t>
      </w:r>
      <w:r>
        <w:t xml:space="preserve">. Their leadership style encourages critical thinking and scientific curiosity, helping to build the next generation of Thai medical experts. The ability to manage international grants and coordinate with global pharmaceutical partners further underscores their professional maturity.</w:t>
      </w:r>
    </w:p>
    <w:bookmarkEnd w:id="25"/>
    <w:bookmarkStart w:id="27" w:name="areas-for-improvement"/>
    <w:p>
      <w:pPr>
        <w:pStyle w:val="Heading2"/>
      </w:pPr>
      <w:r>
        <w:t xml:space="preserve">6. Areas for Improvement</w:t>
      </w:r>
    </w:p>
    <w:p>
      <w:pPr>
        <w:pStyle w:val="FirstParagraph"/>
      </w:pPr>
      <w:r>
        <w:t xml:space="preserve">While the performance is exemplary, this</w:t>
      </w:r>
      <w:r>
        <w:t xml:space="preserve"> </w:t>
      </w:r>
      <w:r>
        <w:rPr>
          <w:bCs/>
          <w:b/>
        </w:rPr>
        <w:t xml:space="preserve">Peer Review Report</w:t>
      </w:r>
      <w:r>
        <w:t xml:space="preserve"> </w:t>
      </w:r>
      <w:r>
        <w:t xml:space="preserve">identifies areas for continued growth. The</w:t>
      </w:r>
      <w:r>
        <w:t xml:space="preserve"> </w:t>
      </w:r>
      <w:r>
        <w:rPr>
          <w:bCs/>
          <w:b/>
        </w:rPr>
        <w:t xml:space="preserve">Medical Researcher</w:t>
      </w:r>
      <w:r>
        <w:t xml:space="preserve"> </w:t>
      </w:r>
      <w:r>
        <w:t xml:space="preserve">is encouraged to further integrate artificial intelligence and big data analytics into their workflow, leveraging the digital health infrastructure rapidly expanding in Bangkok. Additionally, increasing the dissemination of findings to the general public in Thai would enhance community engagement and health literacy.</w:t>
      </w:r>
    </w:p>
    <w:bookmarkStart w:id="26" w:name="overall-assessment-rating"/>
    <w:p>
      <w:pPr>
        <w:pStyle w:val="Heading3"/>
      </w:pPr>
      <w:r>
        <w:t xml:space="preserve">Overall Assessment Rating</w:t>
      </w:r>
    </w:p>
    <w:p>
      <w:pPr>
        <w:pStyle w:val="FirstParagraph"/>
      </w:pPr>
      <w:r>
        <w:rPr>
          <w:bCs/>
          <w:b/>
        </w:rPr>
        <w:t xml:space="preserve">Rating:</w:t>
      </w:r>
      <w:r>
        <w:t xml:space="preserve"> </w:t>
      </w:r>
      <w:r>
        <w:t xml:space="preserve">Outstanding (5/5)</w:t>
      </w:r>
      <w:r>
        <w:br/>
      </w:r>
      <w:r>
        <w:rPr>
          <w:bCs/>
          <w:b/>
        </w:rPr>
        <w:t xml:space="preserve">Recommendation:</w:t>
      </w:r>
      <w:r>
        <w:t xml:space="preserve"> </w:t>
      </w:r>
      <w:r>
        <w:t xml:space="preserve">The panel unanimously recommends the continuation of funding and the promotion of the</w:t>
      </w:r>
      <w:r>
        <w:t xml:space="preserve"> </w:t>
      </w:r>
      <w:r>
        <w:rPr>
          <w:bCs/>
          <w:b/>
        </w:rPr>
        <w:t xml:space="preserve">Medical Researcher</w:t>
      </w:r>
      <w:r>
        <w:t xml:space="preserve"> </w:t>
      </w:r>
      <w:r>
        <w:t xml:space="preserve">to a Principal Investigator role. Their work significantly elevates the scientific reputation of</w:t>
      </w:r>
      <w:r>
        <w:t xml:space="preserve"> </w:t>
      </w:r>
      <w:r>
        <w:rPr>
          <w:bCs/>
          <w:b/>
        </w:rPr>
        <w:t xml:space="preserve">Thailand Bangkok</w:t>
      </w:r>
      <w:r>
        <w:t xml:space="preserve"> </w:t>
      </w:r>
      <w:r>
        <w:t xml:space="preserve">on the global stage.</w:t>
      </w:r>
    </w:p>
    <w:bookmarkEnd w:id="26"/>
    <w:p>
      <w:pPr>
        <w:pStyle w:val="BodyText"/>
      </w:pPr>
      <w:r>
        <w:rPr>
          <w:bCs/>
          <w:b/>
        </w:rPr>
        <w:t xml:space="preserve">Lead Reviewer:</w:t>
      </w:r>
    </w:p>
    <w:p>
      <w:pPr>
        <w:pStyle w:val="BodyText"/>
      </w:pPr>
      <w:r>
        <w:t xml:space="preserve">Dr. Somchai Jirapongse, MD, PhD</w:t>
      </w:r>
    </w:p>
    <w:p>
      <w:pPr>
        <w:pStyle w:val="BodyText"/>
      </w:pPr>
      <w:r>
        <w:t xml:space="preserve">Chair, Ethics Committee</w:t>
      </w:r>
    </w:p>
    <w:p>
      <w:pPr>
        <w:pStyle w:val="BodyText"/>
      </w:pPr>
      <w:r>
        <w:t xml:space="preserve">Signature</w:t>
      </w:r>
    </w:p>
    <w:p>
      <w:pPr>
        <w:pStyle w:val="BodyText"/>
      </w:pPr>
      <w:r>
        <w:rPr>
          <w:bCs/>
          <w:b/>
        </w:rPr>
        <w:t xml:space="preserve">Co-Reviewer:</w:t>
      </w:r>
    </w:p>
    <w:p>
      <w:pPr>
        <w:pStyle w:val="BodyText"/>
      </w:pPr>
      <w:r>
        <w:t xml:space="preserve">Prof. Sarah Jenkins, MBBS</w:t>
      </w:r>
    </w:p>
    <w:p>
      <w:pPr>
        <w:pStyle w:val="BodyText"/>
      </w:pPr>
      <w:r>
        <w:t xml:space="preserve">Director of Clinical Research</w:t>
      </w:r>
    </w:p>
    <w:p>
      <w:pPr>
        <w:pStyle w:val="BodyText"/>
      </w:pPr>
      <w:r>
        <w:t xml:space="preserve">Signature</w:t>
      </w:r>
    </w:p>
    <w:p>
      <w:pPr>
        <w:pStyle w:val="BodyText"/>
      </w:pPr>
      <w:r>
        <w:t xml:space="preserve">This document is an official</w:t>
      </w:r>
      <w:r>
        <w:t xml:space="preserve"> </w:t>
      </w:r>
      <w:r>
        <w:rPr>
          <w:bCs/>
          <w:b/>
        </w:rPr>
        <w:t xml:space="preserve">Peer Review Report</w:t>
      </w:r>
      <w:r>
        <w:t xml:space="preserve"> </w:t>
      </w:r>
      <w:r>
        <w:t xml:space="preserve">generated for internal and regulatory use.</w:t>
      </w:r>
      <w:r>
        <w:br/>
      </w:r>
      <w:r>
        <w:t xml:space="preserve">Prepared in accordance with the standards of the Medical Research Council of Thailand.</w:t>
      </w:r>
      <w:r>
        <w:br/>
      </w:r>
      <w:r>
        <w:t xml:space="preserve">Location:</w:t>
      </w:r>
      <w:r>
        <w:t xml:space="preserve"> </w:t>
      </w:r>
      <w:r>
        <w:rPr>
          <w:bCs/>
          <w:b/>
        </w:rPr>
        <w:t xml:space="preserve">Thailand Bangkok</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