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Dubai,</w:t>
      </w:r>
      <w:r>
        <w:t xml:space="preserve"> </w:t>
      </w:r>
      <w:r>
        <w:t xml:space="preserve">UAE</w:t>
      </w:r>
    </w:p>
    <w:bookmarkStart w:id="21" w:name="peer-review-report"/>
    <w:p>
      <w:pPr>
        <w:pStyle w:val="Heading1"/>
      </w:pPr>
      <w:r>
        <w:t xml:space="preserve">Peer Review Report</w:t>
      </w:r>
    </w:p>
    <w:bookmarkStart w:id="20" w:name="medical-researcher-evaluation"/>
    <w:p>
      <w:pPr>
        <w:pStyle w:val="Heading2"/>
      </w:pPr>
      <w:r>
        <w:t xml:space="preserve">Medical Researcher Evaluation</w:t>
      </w:r>
    </w:p>
    <w:p>
      <w:pPr>
        <w:pStyle w:val="FirstParagraph"/>
      </w:pPr>
      <w:r>
        <w:t xml:space="preserve">United Arab Emirates - Dubai</w:t>
      </w:r>
    </w:p>
    <w:p>
      <w:pPr>
        <w:pStyle w:val="BodyText"/>
      </w:pPr>
      <w:r>
        <w:t xml:space="preserve">Date: October 2023</w:t>
      </w:r>
    </w:p>
    <w:bookmarkEnd w:id="20"/>
    <w:bookmarkEnd w:id="21"/>
    <w:bookmarkStart w:id="22" w:name="introduction"/>
    <w:p>
      <w:pPr>
        <w:pStyle w:val="Heading2"/>
      </w:pPr>
      <w:r>
        <w:t xml:space="preserve">1. Introduction</w:t>
      </w:r>
    </w:p>
    <w:p>
      <w:pPr>
        <w:pStyle w:val="FirstParagraph"/>
      </w:pPr>
      <w:r>
        <w:t xml:space="preserve">This Peer Review Report has been prepared to evaluate the professional performance, research contributions, and ethical compliance of a Medical Researcher operating within the healthcare and research ecosystem of Dubai, United Arab Emirates. The purpose of this review is to ensure that the researcher's work aligns with the high standards set by the Dubai Health Authority (DHA), the Ministry of Health and Prevention (MOHAP), and international best practices in medical research.</w:t>
      </w:r>
    </w:p>
    <w:p>
      <w:pPr>
        <w:pStyle w:val="BodyText"/>
      </w:pPr>
      <w:r>
        <w:t xml:space="preserve">Dubai has emerged as a leading hub for medical innovation and research in the Middle East. As such, maintaining rigorous standards in clinical trials, biomedical research, and public health studies is essential. This report assesses the researcher's adherence to these standards, their scientific rigor, and their contribution to advancing healthcare in the region.</w:t>
      </w:r>
    </w:p>
    <w:bookmarkEnd w:id="22"/>
    <w:bookmarkStart w:id="23" w:name="researcher-profile"/>
    <w:p>
      <w:pPr>
        <w:pStyle w:val="Heading2"/>
      </w:pPr>
      <w:r>
        <w:t xml:space="preserve">2. Researcher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[Researcher Name]</w:t>
            </w:r>
          </w:p>
        </w:tc>
      </w:tr>
      <w:tr>
        <w:tc>
          <w:tcPr/>
          <w:p>
            <w:pPr>
              <w:pStyle w:val="Compact"/>
              <w:jc w:val="left"/>
            </w:pPr>
            <w:r>
              <w:t xml:space="preserve">Position</w:t>
            </w:r>
          </w:p>
        </w:tc>
        <w:tc>
          <w:tcPr/>
          <w:p>
            <w:pPr>
              <w:pStyle w:val="Compact"/>
              <w:jc w:val="left"/>
            </w:pPr>
            <w:r>
              <w:t xml:space="preserve">Medical Researcher</w:t>
            </w:r>
          </w:p>
        </w:tc>
      </w:tr>
      <w:tr>
        <w:tc>
          <w:tcPr/>
          <w:p>
            <w:pPr>
              <w:pStyle w:val="Compact"/>
              <w:jc w:val="left"/>
            </w:pPr>
            <w:r>
              <w:t xml:space="preserve">Institution</w:t>
            </w:r>
          </w:p>
        </w:tc>
        <w:tc>
          <w:tcPr/>
          <w:p>
            <w:pPr>
              <w:pStyle w:val="Compact"/>
              <w:jc w:val="left"/>
            </w:pPr>
            <w:r>
              <w:t xml:space="preserve">[Institution Name], Dubai, UAE</w:t>
            </w:r>
          </w:p>
        </w:tc>
      </w:tr>
      <w:tr>
        <w:tc>
          <w:tcPr/>
          <w:p>
            <w:pPr>
              <w:pStyle w:val="Compact"/>
              <w:jc w:val="left"/>
            </w:pPr>
            <w:r>
              <w:t xml:space="preserve">Specialization</w:t>
            </w:r>
          </w:p>
        </w:tc>
        <w:tc>
          <w:tcPr/>
          <w:p>
            <w:pPr>
              <w:pStyle w:val="Compact"/>
              <w:jc w:val="left"/>
            </w:pPr>
            <w:r>
              <w:t xml:space="preserve">[e.g., Oncology, Infectious Diseases, Public Health]</w:t>
            </w:r>
          </w:p>
        </w:tc>
      </w:tr>
      <w:tr>
        <w:tc>
          <w:tcPr/>
          <w:p>
            <w:pPr>
              <w:pStyle w:val="Compact"/>
              <w:jc w:val="left"/>
            </w:pPr>
            <w:r>
              <w:t xml:space="preserve">Years of Experience</w:t>
            </w:r>
          </w:p>
        </w:tc>
        <w:tc>
          <w:tcPr/>
          <w:p>
            <w:pPr>
              <w:pStyle w:val="Compact"/>
              <w:jc w:val="left"/>
            </w:pPr>
            <w:r>
              <w:t xml:space="preserve">[Number] years</w:t>
            </w:r>
          </w:p>
        </w:tc>
      </w:tr>
      <w:tr>
        <w:tc>
          <w:tcPr/>
          <w:p>
            <w:pPr>
              <w:pStyle w:val="Compact"/>
              <w:jc w:val="left"/>
            </w:pPr>
            <w:r>
              <w:t xml:space="preserve">Licensure</w:t>
            </w:r>
          </w:p>
        </w:tc>
        <w:tc>
          <w:tcPr/>
          <w:p>
            <w:pPr>
              <w:pStyle w:val="Compact"/>
              <w:jc w:val="left"/>
            </w:pPr>
            <w:r>
              <w:t xml:space="preserve">DHA Certified / MOHAP Licensed</w:t>
            </w:r>
          </w:p>
        </w:tc>
      </w:tr>
    </w:tbl>
    <w:bookmarkEnd w:id="23"/>
    <w:bookmarkStart w:id="24" w:name="scope-of-review"/>
    <w:p>
      <w:pPr>
        <w:pStyle w:val="Heading2"/>
      </w:pPr>
      <w:r>
        <w:t xml:space="preserve">3. Scope of Review</w:t>
      </w:r>
    </w:p>
    <w:p>
      <w:pPr>
        <w:pStyle w:val="FirstParagraph"/>
      </w:pPr>
      <w:r>
        <w:t xml:space="preserve">This Peer Review Report covers the following key areas:</w:t>
      </w:r>
    </w:p>
    <w:p>
      <w:pPr>
        <w:numPr>
          <w:ilvl w:val="0"/>
          <w:numId w:val="1001"/>
        </w:numPr>
        <w:pStyle w:val="Compact"/>
      </w:pPr>
      <w:r>
        <w:t xml:space="preserve">Scientific quality and methodology of research projects</w:t>
      </w:r>
    </w:p>
    <w:p>
      <w:pPr>
        <w:numPr>
          <w:ilvl w:val="0"/>
          <w:numId w:val="1001"/>
        </w:numPr>
        <w:pStyle w:val="Compact"/>
      </w:pPr>
      <w:r>
        <w:t xml:space="preserve">Ethical compliance and patient safety</w:t>
      </w:r>
    </w:p>
    <w:p>
      <w:pPr>
        <w:numPr>
          <w:ilvl w:val="0"/>
          <w:numId w:val="1001"/>
        </w:numPr>
        <w:pStyle w:val="Compact"/>
      </w:pPr>
      <w:r>
        <w:t xml:space="preserve">Regulatory adherence in Dubai and the UAE</w:t>
      </w:r>
    </w:p>
    <w:p>
      <w:pPr>
        <w:numPr>
          <w:ilvl w:val="0"/>
          <w:numId w:val="1001"/>
        </w:numPr>
        <w:pStyle w:val="Compact"/>
      </w:pPr>
      <w:r>
        <w:t xml:space="preserve">Collaboration and interdisciplinary engagement</w:t>
      </w:r>
    </w:p>
    <w:p>
      <w:pPr>
        <w:numPr>
          <w:ilvl w:val="0"/>
          <w:numId w:val="1001"/>
        </w:numPr>
        <w:pStyle w:val="Compact"/>
      </w:pPr>
      <w:r>
        <w:t xml:space="preserve">Dissemination of research findings</w:t>
      </w:r>
    </w:p>
    <w:p>
      <w:pPr>
        <w:numPr>
          <w:ilvl w:val="0"/>
          <w:numId w:val="1001"/>
        </w:numPr>
        <w:pStyle w:val="Compact"/>
      </w:pPr>
      <w:r>
        <w:t xml:space="preserve">Professional development and leadership</w:t>
      </w:r>
    </w:p>
    <w:bookmarkEnd w:id="24"/>
    <w:bookmarkStart w:id="31" w:name="evaluation-criteria-and-findings"/>
    <w:p>
      <w:pPr>
        <w:pStyle w:val="Heading2"/>
      </w:pPr>
      <w:r>
        <w:t xml:space="preserve">4. Evaluation Criteria and Findings</w:t>
      </w:r>
    </w:p>
    <w:bookmarkStart w:id="25" w:name="scientific-rigor-and-methodology"/>
    <w:p>
      <w:pPr>
        <w:pStyle w:val="Heading3"/>
      </w:pPr>
      <w:r>
        <w:t xml:space="preserve">4.1 Scientific Rigor and Methodology</w:t>
      </w:r>
    </w:p>
    <w:p>
      <w:pPr>
        <w:pStyle w:val="FirstParagraph"/>
      </w:pPr>
      <w:r>
        <w:t xml:space="preserve">The Medical Researcher has demonstrated a strong command of research design, data collection, and statistical analysis. Their recent studies on [specific topic] reflect a clear understanding of current scientific literature and methodological best practices. The protocols were well-structured, with appropriate inclusion and exclusion criteria, ensuring the validity and reliability of the findings.</w:t>
      </w:r>
    </w:p>
    <w:p>
      <w:pPr>
        <w:pStyle w:val="BodyText"/>
      </w:pPr>
      <w:r>
        <w:t xml:space="preserve">However, there is room for improvement in the integration of advanced data analytics tools, which could enhance the depth of insights derived from large datasets. Encouraging the use of artificial intelligence and machine learning in future projects may further strengthen the researcher's output.</w:t>
      </w:r>
    </w:p>
    <w:bookmarkEnd w:id="25"/>
    <w:bookmarkStart w:id="26" w:name="ethical-compliance-and-patient-safety"/>
    <w:p>
      <w:pPr>
        <w:pStyle w:val="Heading3"/>
      </w:pPr>
      <w:r>
        <w:t xml:space="preserve">4.2 Ethical Compliance and Patient Safety</w:t>
      </w:r>
    </w:p>
    <w:p>
      <w:pPr>
        <w:pStyle w:val="FirstParagraph"/>
      </w:pPr>
      <w:r>
        <w:t xml:space="preserve">Ethical considerations are paramount in medical research, particularly in a diverse and multicultural environment like Dubai. The researcher has consistently obtained informed consent from participants and ensured confidentiality in accordance with the UAE Federal Decree-Law No. 17 of 2016 on Medical Liability and the DHA's ethical guidelines.</w:t>
      </w:r>
    </w:p>
    <w:p>
      <w:pPr>
        <w:pStyle w:val="BodyText"/>
      </w:pPr>
      <w:r>
        <w:t xml:space="preserve">All research protocols were reviewed and approved by the relevant Institutional Review Board (IRB). No ethical violations were identified during this review period. The researcher's commitment to patient safety and rights is commendable and aligns with international standards such as the Declaration of Helsinki.</w:t>
      </w:r>
    </w:p>
    <w:bookmarkEnd w:id="26"/>
    <w:bookmarkStart w:id="27" w:name="regulatory-adherence"/>
    <w:p>
      <w:pPr>
        <w:pStyle w:val="Heading3"/>
      </w:pPr>
      <w:r>
        <w:t xml:space="preserve">4.3 Regulatory Adherence</w:t>
      </w:r>
    </w:p>
    <w:p>
      <w:pPr>
        <w:pStyle w:val="FirstParagraph"/>
      </w:pPr>
      <w:r>
        <w:t xml:space="preserve">The researcher has maintained full compliance with the regulatory requirements set by the Dubai Health Authority and the Ministry of Health and Prevention. Clinical trials and observational studies were registered appropriately, and all necessary permits were secured prior to initiation.</w:t>
      </w:r>
    </w:p>
    <w:p>
      <w:pPr>
        <w:pStyle w:val="BodyText"/>
      </w:pPr>
      <w:r>
        <w:t xml:space="preserve">Documentation was thorough and up-to-date, facilitating smooth audits and inspections. The researcher's awareness of local regulations and their proactive approach to compliance contribute significantly to the integrity of medical research in Dubai.</w:t>
      </w:r>
    </w:p>
    <w:bookmarkEnd w:id="27"/>
    <w:bookmarkStart w:id="28" w:name="Xa62066b8dbb01306207050999bce278da1310e1"/>
    <w:p>
      <w:pPr>
        <w:pStyle w:val="Heading3"/>
      </w:pPr>
      <w:r>
        <w:t xml:space="preserve">4.4 Collaboration and Interdisciplinary Engagement</w:t>
      </w:r>
    </w:p>
    <w:p>
      <w:pPr>
        <w:pStyle w:val="FirstParagraph"/>
      </w:pPr>
      <w:r>
        <w:t xml:space="preserve">Dubai's healthcare sector thrives on collaboration between hospitals, universities, and research centers. The Medical Researcher has actively participated in multidisciplinary teams, working closely with clinicians, data scientists, and public health officials.</w:t>
      </w:r>
    </w:p>
    <w:p>
      <w:pPr>
        <w:pStyle w:val="BodyText"/>
      </w:pPr>
      <w:r>
        <w:t xml:space="preserve">Notable collaborations include partnerships with [Institution/Partner Name], which have led to joint publications and grant acquisitions. These efforts reflect a strong commitment to knowledge sharing and collective advancement in medical science.</w:t>
      </w:r>
    </w:p>
    <w:bookmarkEnd w:id="28"/>
    <w:bookmarkStart w:id="29" w:name="dissemination-of-research-findings"/>
    <w:p>
      <w:pPr>
        <w:pStyle w:val="Heading3"/>
      </w:pPr>
      <w:r>
        <w:t xml:space="preserve">4.5 Dissemination of Research Findings</w:t>
      </w:r>
    </w:p>
    <w:p>
      <w:pPr>
        <w:pStyle w:val="FirstParagraph"/>
      </w:pPr>
      <w:r>
        <w:t xml:space="preserve">The researcher has published several peer-reviewed articles in reputable international journals, contributing to the global body of medical knowledge. Presentations at regional and international conferences have further amplified the impact of their work.</w:t>
      </w:r>
    </w:p>
    <w:p>
      <w:pPr>
        <w:pStyle w:val="BodyText"/>
      </w:pPr>
      <w:r>
        <w:t xml:space="preserve">Efforts to translate research findings into practical healthcare policies in Dubai are evident, particularly in areas such as [specific area]. Continued emphasis on open-access publishing and community engagement would enhance the accessibility and applicability of their research.</w:t>
      </w:r>
    </w:p>
    <w:bookmarkEnd w:id="29"/>
    <w:bookmarkStart w:id="30" w:name="professional-development-and-leadership"/>
    <w:p>
      <w:pPr>
        <w:pStyle w:val="Heading3"/>
      </w:pPr>
      <w:r>
        <w:t xml:space="preserve">4.6 Professional Development and Leadership</w:t>
      </w:r>
    </w:p>
    <w:p>
      <w:pPr>
        <w:pStyle w:val="FirstParagraph"/>
      </w:pPr>
      <w:r>
        <w:t xml:space="preserve">The Medical Researcher has pursued ongoing professional development through workshops, certifications, and advanced training programs. Their leadership in mentoring junior researchers and students has fostered a culture of excellence and innovation within their institution.</w:t>
      </w:r>
    </w:p>
    <w:p>
      <w:pPr>
        <w:pStyle w:val="BodyText"/>
      </w:pPr>
      <w:r>
        <w:t xml:space="preserve">Initiatives to promote research ethics and methodology among colleagues demonstrate a commitment to elevating the overall standard of medical research in Dubai.</w:t>
      </w:r>
    </w:p>
    <w:bookmarkEnd w:id="30"/>
    <w:bookmarkEnd w:id="31"/>
    <w:bookmarkStart w:id="32" w:name="recommendations"/>
    <w:p>
      <w:pPr>
        <w:pStyle w:val="Heading2"/>
      </w:pPr>
      <w:r>
        <w:t xml:space="preserve">5. Recommendations</w:t>
      </w:r>
    </w:p>
    <w:p>
      <w:pPr>
        <w:numPr>
          <w:ilvl w:val="0"/>
          <w:numId w:val="1002"/>
        </w:numPr>
        <w:pStyle w:val="Compact"/>
      </w:pPr>
      <w:r>
        <w:t xml:space="preserve">Enhance the use of advanced data analytics and AI tools in research projects.</w:t>
      </w:r>
    </w:p>
    <w:p>
      <w:pPr>
        <w:numPr>
          <w:ilvl w:val="0"/>
          <w:numId w:val="1002"/>
        </w:numPr>
        <w:pStyle w:val="Compact"/>
      </w:pPr>
      <w:r>
        <w:t xml:space="preserve">Increase engagement with community stakeholders to ensure research relevance and impact.</w:t>
      </w:r>
    </w:p>
    <w:p>
      <w:pPr>
        <w:numPr>
          <w:ilvl w:val="0"/>
          <w:numId w:val="1002"/>
        </w:numPr>
        <w:pStyle w:val="Compact"/>
      </w:pPr>
      <w:r>
        <w:t xml:space="preserve">Pursue additional international collaborations to broaden research perspectives.</w:t>
      </w:r>
    </w:p>
    <w:p>
      <w:pPr>
        <w:numPr>
          <w:ilvl w:val="0"/>
          <w:numId w:val="1002"/>
        </w:numPr>
        <w:pStyle w:val="Compact"/>
      </w:pPr>
      <w:r>
        <w:t xml:space="preserve">Continue to prioritize ethical training and regulatory compliance.</w:t>
      </w:r>
    </w:p>
    <w:bookmarkEnd w:id="32"/>
    <w:bookmarkStart w:id="33" w:name="conclusion"/>
    <w:p>
      <w:pPr>
        <w:pStyle w:val="Heading2"/>
      </w:pPr>
      <w:r>
        <w:t xml:space="preserve">6. Conclusion</w:t>
      </w:r>
    </w:p>
    <w:p>
      <w:pPr>
        <w:pStyle w:val="FirstParagraph"/>
      </w:pPr>
      <w:r>
        <w:t xml:space="preserve">This Peer Review Report affirms that the Medical Researcher has performed at a high professional standard, contributing meaningfully to the advancement of medical science in Dubai, United Arab Emirates. Their adherence to ethical principles, regulatory requirements, and scientific rigor underscores their value to the healthcare research community. With continued growth and collaboration, the researcher is well-positioned to play a pivotal role in shaping the future of medical research in the region.</w:t>
      </w:r>
    </w:p>
    <w:bookmarkEnd w:id="33"/>
    <w:p>
      <w:pPr>
        <w:pStyle w:val="BodyText"/>
      </w:pPr>
      <w:r>
        <w:rPr>
          <w:bCs/>
          <w:b/>
        </w:rPr>
        <w:t xml:space="preserve">Reviewed by:</w:t>
      </w:r>
    </w:p>
    <w:p>
      <w:pPr>
        <w:pStyle w:val="BodyText"/>
      </w:pPr>
      <w:r>
        <w:t xml:space="preserve">[Reviewer Name]</w:t>
      </w:r>
    </w:p>
    <w:p>
      <w:pPr>
        <w:pStyle w:val="BodyText"/>
      </w:pPr>
      <w:r>
        <w:t xml:space="preserve">[Title/Position]</w:t>
      </w:r>
    </w:p>
    <w:p>
      <w:pPr>
        <w:pStyle w:val="BodyText"/>
      </w:pPr>
      <w:r>
        <w:t xml:space="preserve">[Institution/Organization]</w:t>
      </w:r>
    </w:p>
    <w:p>
      <w:pPr>
        <w:pStyle w:val="BodyText"/>
      </w:pPr>
      <w:r>
        <w:t xml:space="preserve">Dubai, United Arab Emirates</w:t>
      </w:r>
    </w:p>
    <w:p>
      <w:pPr>
        <w:pStyle w:val="BodyText"/>
      </w:pPr>
      <w:r>
        <w:t xml:space="preserve">Date: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Medical Researcher - Dubai, UAE</dc:title>
  <dc:creator/>
  <dc:language>en</dc:language>
  <cp:keywords/>
  <dcterms:created xsi:type="dcterms:W3CDTF">2026-10-10T05:52:53Z</dcterms:created>
  <dcterms:modified xsi:type="dcterms:W3CDTF">2026-10-10T05:52:53Z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