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Evaluation of Research Competency and Clinical Contribution</w:t>
      </w:r>
    </w:p>
    <w:bookmarkEnd w:id="20"/>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Tashkent, Uzbekistan</w:t>
      </w:r>
    </w:p>
    <w:p>
      <w:pPr>
        <w:pStyle w:val="BodyText"/>
      </w:pPr>
      <w:r>
        <w:rPr>
          <w:bCs/>
          <w:b/>
        </w:rPr>
        <w:t xml:space="preserve">Subject Role:</w:t>
      </w:r>
      <w:r>
        <w:t xml:space="preserve"> </w:t>
      </w:r>
      <w:r>
        <w:t xml:space="preserve">Medical Researcher</w:t>
      </w:r>
    </w:p>
    <w:p>
      <w:pPr>
        <w:pStyle w:val="BodyText"/>
      </w:pPr>
      <w:r>
        <w:rPr>
          <w:bCs/>
          <w:b/>
        </w:rPr>
        <w:t xml:space="preserve">Institution:</w:t>
      </w:r>
      <w:r>
        <w:t xml:space="preserve"> </w:t>
      </w:r>
      <w:r>
        <w:t xml:space="preserve">National Medical Research Institute</w:t>
      </w:r>
    </w:p>
    <w:p>
      <w:pPr>
        <w:pStyle w:val="BodyText"/>
      </w:pPr>
      <w:r>
        <w:rPr>
          <w:bCs/>
          <w:b/>
        </w:rPr>
        <w:t xml:space="preserve">Reviewer ID:</w:t>
      </w:r>
      <w:r>
        <w:t xml:space="preserve"> </w:t>
      </w:r>
      <w:r>
        <w:t xml:space="preserve">PR-2023-TK-884</w:t>
      </w:r>
    </w:p>
    <w:p>
      <w:pPr>
        <w:pStyle w:val="BodyText"/>
      </w:pPr>
      <w:r>
        <w:rPr>
          <w:bCs/>
          <w:b/>
        </w:rPr>
        <w:t xml:space="preserve">Confidentiality:</w:t>
      </w:r>
      <w:r>
        <w:t xml:space="preserve"> </w:t>
      </w:r>
      <w:r>
        <w:t xml:space="preserve">Strictly Confidential</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scientific output, and ethical adherence of the designated</w:t>
      </w:r>
      <w:r>
        <w:t xml:space="preserve"> </w:t>
      </w:r>
      <w:r>
        <w:rPr>
          <w:bCs/>
          <w:b/>
        </w:rPr>
        <w:t xml:space="preserve">Medical Researcher</w:t>
      </w:r>
      <w:r>
        <w:t xml:space="preserve">. The assessment is conducted within the specific regulatory and academic framework of</w:t>
      </w:r>
      <w:r>
        <w:t xml:space="preserve"> </w:t>
      </w:r>
      <w:r>
        <w:rPr>
          <w:bCs/>
          <w:b/>
        </w:rPr>
        <w:t xml:space="preserve">Uzbekistan Tashkent</w:t>
      </w:r>
      <w:r>
        <w:t xml:space="preserve">, aligning with the strategic goals of the Ministry of Health of the Republic of Uzbekistan. The primary objective of this review is to determine the researcher's suitability for continued funding, promotion, or leadership roles within the national healthcare research ecosystem.</w:t>
      </w:r>
    </w:p>
    <w:p>
      <w:pPr>
        <w:pStyle w:val="BodyText"/>
      </w:pPr>
      <w:r>
        <w:t xml:space="preserve">The review process involved a rigorous analysis of clinical trial data, publication records, grant management, and collaborative efforts with local hospitals in Tashkent. The findings indicate a high level of technical proficiency, though specific areas regarding international collaboration and data transparency require attention to meet global standards.</w:t>
      </w:r>
    </w:p>
    <w:bookmarkEnd w:id="21"/>
    <w:bookmarkStart w:id="22" w:name="Xe477cce328d353516dfebd559c99fa06de2b01f"/>
    <w:p>
      <w:pPr>
        <w:pStyle w:val="Heading2"/>
      </w:pPr>
      <w:r>
        <w:t xml:space="preserve">2. Evaluation of Research Methodology and Clinical Relevance</w:t>
      </w:r>
    </w:p>
    <w:p>
      <w:pPr>
        <w:pStyle w:val="FirstParagraph"/>
      </w:pPr>
      <w:r>
        <w:t xml:space="preserve">As a</w:t>
      </w:r>
      <w:r>
        <w:t xml:space="preserve"> </w:t>
      </w:r>
      <w:r>
        <w:rPr>
          <w:bCs/>
          <w:b/>
        </w:rPr>
        <w:t xml:space="preserve">Medical Researcher</w:t>
      </w:r>
      <w:r>
        <w:t xml:space="preserve"> </w:t>
      </w:r>
      <w:r>
        <w:t xml:space="preserve">operating in</w:t>
      </w:r>
      <w:r>
        <w:t xml:space="preserve"> </w:t>
      </w:r>
      <w:r>
        <w:rPr>
          <w:bCs/>
          <w:b/>
        </w:rPr>
        <w:t xml:space="preserve">Uzbekistan Tashkent</w:t>
      </w:r>
      <w:r>
        <w:t xml:space="preserve">, the subject is expected to address critical public health challenges relevant to the Central Asian demographic. The review panel examined the researcher's recent projects focusing on cardiovascular diseases and infectious disease epidemiology.</w:t>
      </w:r>
    </w:p>
    <w:p>
      <w:pPr>
        <w:pStyle w:val="BodyText"/>
      </w:pPr>
      <w:r>
        <w:t xml:space="preserve">The methodology employed in the recent cohort studies demonstrates a robust understanding of statistical analysis and clinical trial design. The researcher has successfully adapted international protocols to the local context, ensuring that the data collected is representative of the population in Tashkent. However, the</w:t>
      </w:r>
      <w:r>
        <w:t xml:space="preserve"> </w:t>
      </w:r>
      <w:r>
        <w:rPr>
          <w:bCs/>
          <w:b/>
        </w:rPr>
        <w:t xml:space="preserve">Peer Review Report</w:t>
      </w:r>
      <w:r>
        <w:t xml:space="preserve"> </w:t>
      </w:r>
      <w:r>
        <w:t xml:space="preserve">notes that while the sample sizes are adequate, the long-term follow-up mechanisms need strengthening to ensure data integrity over extended periods.</w:t>
      </w:r>
    </w:p>
    <w:p>
      <w:pPr>
        <w:numPr>
          <w:ilvl w:val="0"/>
          <w:numId w:val="1001"/>
        </w:numPr>
        <w:pStyle w:val="Compact"/>
      </w:pPr>
      <w:r>
        <w:rPr>
          <w:bCs/>
          <w:b/>
        </w:rPr>
        <w:t xml:space="preserve">Strengths:</w:t>
      </w:r>
      <w:r>
        <w:t xml:space="preserve"> </w:t>
      </w:r>
      <w:r>
        <w:t xml:space="preserve">Excellent adaptation of clinical protocols to local hospital infrastructure in Tashkent.</w:t>
      </w:r>
    </w:p>
    <w:p>
      <w:pPr>
        <w:numPr>
          <w:ilvl w:val="0"/>
          <w:numId w:val="1001"/>
        </w:numPr>
        <w:pStyle w:val="Compact"/>
      </w:pPr>
      <w:r>
        <w:rPr>
          <w:bCs/>
          <w:b/>
        </w:rPr>
        <w:t xml:space="preserve">Strengths:</w:t>
      </w:r>
      <w:r>
        <w:t xml:space="preserve"> </w:t>
      </w:r>
      <w:r>
        <w:t xml:space="preserve">Rigorous statistical validation of results.</w:t>
      </w:r>
    </w:p>
    <w:p>
      <w:pPr>
        <w:numPr>
          <w:ilvl w:val="0"/>
          <w:numId w:val="1001"/>
        </w:numPr>
        <w:pStyle w:val="Compact"/>
      </w:pPr>
      <w:r>
        <w:rPr>
          <w:bCs/>
          <w:b/>
        </w:rPr>
        <w:t xml:space="preserve">Area for Improvement:</w:t>
      </w:r>
      <w:r>
        <w:t xml:space="preserve"> </w:t>
      </w:r>
      <w:r>
        <w:t xml:space="preserve">Implementation of more advanced digital health tools for patient tracking.</w:t>
      </w:r>
    </w:p>
    <w:bookmarkEnd w:id="22"/>
    <w:bookmarkStart w:id="23" w:name="publication-record-and-academic-impact"/>
    <w:p>
      <w:pPr>
        <w:pStyle w:val="Heading2"/>
      </w:pPr>
      <w:r>
        <w:t xml:space="preserve">3. Publication Record and Academic Impact</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Medical Researcher</w:t>
      </w:r>
      <w:r>
        <w:t xml:space="preserve">'s contribution to the global and local scientific community. The subject has published extensively in regional journals and has begun to secure placements in high-impact international journals. This is a positive trend for the scientific reputation of</w:t>
      </w:r>
      <w:r>
        <w:t xml:space="preserve"> </w:t>
      </w:r>
      <w:r>
        <w:rPr>
          <w:bCs/>
          <w:b/>
        </w:rPr>
        <w:t xml:space="preserve">Uzbekistan Tashkent</w:t>
      </w:r>
      <w:r>
        <w:t xml:space="preserve">.</w:t>
      </w:r>
    </w:p>
    <w:p>
      <w:pPr>
        <w:pStyle w:val="BodyText"/>
      </w:pPr>
      <w:r>
        <w:t xml:space="preserve">The quality of writing and the clarity of data presentation have improved significantly over the last review cycle. The researcher effectively communicates complex medical findings to both specialist and general audiences. However, the review panel recommends increasing the frequency of open-access publications to ensure that the findings benefit the broader medical community in Uzbekistan without paywall restrictions.</w:t>
      </w:r>
    </w:p>
    <w:bookmarkEnd w:id="23"/>
    <w:bookmarkStart w:id="24" w:name="X09ba96c5837e590dcbfb7ffd0f7c2db166527cb"/>
    <w:p>
      <w:pPr>
        <w:pStyle w:val="Heading2"/>
      </w:pPr>
      <w:r>
        <w:t xml:space="preserve">4. Ethical Compliance and Regulatory Adherence</w:t>
      </w:r>
    </w:p>
    <w:p>
      <w:pPr>
        <w:pStyle w:val="FirstParagraph"/>
      </w:pPr>
      <w:r>
        <w:t xml:space="preserve">Ethical conduct is paramount for any</w:t>
      </w:r>
      <w:r>
        <w:t xml:space="preserve"> </w:t>
      </w:r>
      <w:r>
        <w:rPr>
          <w:bCs/>
          <w:b/>
        </w:rPr>
        <w:t xml:space="preserve">Medical Researcher</w:t>
      </w:r>
      <w:r>
        <w:t xml:space="preserve">. This</w:t>
      </w:r>
      <w:r>
        <w:t xml:space="preserve"> </w:t>
      </w:r>
      <w:r>
        <w:rPr>
          <w:bCs/>
          <w:b/>
        </w:rPr>
        <w:t xml:space="preserve">Peer Review Report</w:t>
      </w:r>
      <w:r>
        <w:t xml:space="preserve"> </w:t>
      </w:r>
      <w:r>
        <w:t xml:space="preserve">confirms that the subject has strictly adhered to the ethical guidelines set forth by the Bioethics Committee of the Republic of Uzbekistan. All informed consent processes were documented correctly, and patient privacy was maintained in accordance with national data protection laws.</w:t>
      </w:r>
    </w:p>
    <w:p>
      <w:pPr>
        <w:pStyle w:val="BodyText"/>
      </w:pPr>
      <w:r>
        <w:t xml:space="preserve">The researcher demonstrated a strong commitment to patient safety during clinical trials conducted in Tashkent. No adverse events were reported that were attributable to negligence or protocol deviation. The transparency regarding potential conflicts of interest was also commended by the review board.</w:t>
      </w:r>
    </w:p>
    <w:bookmarkEnd w:id="24"/>
    <w:bookmarkStart w:id="25" w:name="collaboration-and-mentorship"/>
    <w:p>
      <w:pPr>
        <w:pStyle w:val="Heading2"/>
      </w:pPr>
      <w:r>
        <w:t xml:space="preserve">5. Collaboration and Mentorship</w:t>
      </w:r>
    </w:p>
    <w:p>
      <w:pPr>
        <w:pStyle w:val="FirstParagraph"/>
      </w:pPr>
      <w:r>
        <w:t xml:space="preserve">The role of a</w:t>
      </w:r>
      <w:r>
        <w:t xml:space="preserve"> </w:t>
      </w:r>
      <w:r>
        <w:rPr>
          <w:bCs/>
          <w:b/>
        </w:rPr>
        <w:t xml:space="preserve">Medical Researcher</w:t>
      </w:r>
      <w:r>
        <w:t xml:space="preserve"> </w:t>
      </w:r>
      <w:r>
        <w:t xml:space="preserve">extends beyond individual output to include the cultivation of future talent. In the context of</w:t>
      </w:r>
      <w:r>
        <w:t xml:space="preserve"> </w:t>
      </w:r>
      <w:r>
        <w:rPr>
          <w:bCs/>
          <w:b/>
        </w:rPr>
        <w:t xml:space="preserve">Uzbekistan Tashkent</w:t>
      </w:r>
      <w:r>
        <w:t xml:space="preserve">, where medical education is expanding, mentorship is vital. The subject has actively supervised junior researchers and medical students, fostering a culture of inquiry and evidence-based practice.</w:t>
      </w:r>
    </w:p>
    <w:p>
      <w:pPr>
        <w:pStyle w:val="BodyText"/>
      </w:pPr>
      <w:r>
        <w:t xml:space="preserve">Furthermore, the researcher has established productive partnerships with major medical universities in Tashkent. These collaborations have facilitated resource sharing and enhanced the overall quality of research output. The</w:t>
      </w:r>
      <w:r>
        <w:t xml:space="preserve"> </w:t>
      </w:r>
      <w:r>
        <w:rPr>
          <w:bCs/>
          <w:b/>
        </w:rPr>
        <w:t xml:space="preserve">Peer Review Report</w:t>
      </w:r>
      <w:r>
        <w:t xml:space="preserve"> </w:t>
      </w:r>
      <w:r>
        <w:t xml:space="preserve">highlights these collaborative efforts as a key asset to the institution.</w:t>
      </w:r>
    </w:p>
    <w:bookmarkEnd w:id="25"/>
    <w:bookmarkStart w:id="27" w:name="recommendations-and-final-verdict"/>
    <w:p>
      <w:pPr>
        <w:pStyle w:val="Heading2"/>
      </w:pPr>
      <w:r>
        <w:t xml:space="preserve">6. Recommendations and Final Verdict</w:t>
      </w:r>
    </w:p>
    <w:p>
      <w:pPr>
        <w:pStyle w:val="FirstParagraph"/>
      </w:pPr>
      <w:r>
        <w:t xml:space="preserve">Based on the comprehensive analysis detailed in this</w:t>
      </w:r>
      <w:r>
        <w:t xml:space="preserve"> </w:t>
      </w:r>
      <w:r>
        <w:rPr>
          <w:bCs/>
          <w:b/>
        </w:rPr>
        <w:t xml:space="preserve">Peer Review Report</w:t>
      </w:r>
      <w:r>
        <w:t xml:space="preserve">, the review panel concludes that the</w:t>
      </w:r>
      <w:r>
        <w:t xml:space="preserve"> </w:t>
      </w:r>
      <w:r>
        <w:rPr>
          <w:bCs/>
          <w:b/>
        </w:rPr>
        <w:t xml:space="preserve">Medical Researcher</w:t>
      </w:r>
      <w:r>
        <w:t xml:space="preserve"> </w:t>
      </w:r>
      <w:r>
        <w:t xml:space="preserve">is performing at a level that exceeds the standard expectations for their current position. Their work contributes significantly to the advancement of medical science in</w:t>
      </w:r>
      <w:r>
        <w:t xml:space="preserve"> </w:t>
      </w:r>
      <w:r>
        <w:rPr>
          <w:bCs/>
          <w:b/>
        </w:rPr>
        <w:t xml:space="preserve">Uzbekistan Tashkent</w:t>
      </w:r>
      <w:r>
        <w:t xml:space="preserve">.</w:t>
      </w:r>
    </w:p>
    <w:p>
      <w:pPr>
        <w:pStyle w:val="BodyText"/>
      </w:pPr>
      <w:r>
        <w:rPr>
          <w:bCs/>
          <w:b/>
        </w:rPr>
        <w:t xml:space="preserve">Final Recommendations:</w:t>
      </w:r>
    </w:p>
    <w:p>
      <w:pPr>
        <w:numPr>
          <w:ilvl w:val="0"/>
          <w:numId w:val="1002"/>
        </w:numPr>
        <w:pStyle w:val="Compact"/>
      </w:pPr>
      <w:r>
        <w:rPr>
          <w:bCs/>
          <w:b/>
        </w:rPr>
        <w:t xml:space="preserve">Approval:</w:t>
      </w:r>
      <w:r>
        <w:t xml:space="preserve"> </w:t>
      </w:r>
      <w:r>
        <w:t xml:space="preserve">The researcher is approved for the next cycle of research funding.</w:t>
      </w:r>
    </w:p>
    <w:p>
      <w:pPr>
        <w:numPr>
          <w:ilvl w:val="0"/>
          <w:numId w:val="1002"/>
        </w:numPr>
        <w:pStyle w:val="Compact"/>
      </w:pPr>
      <w:r>
        <w:rPr>
          <w:bCs/>
          <w:b/>
        </w:rPr>
        <w:t xml:space="preserve">Development:</w:t>
      </w:r>
      <w:r>
        <w:t xml:space="preserve"> </w:t>
      </w:r>
      <w:r>
        <w:t xml:space="preserve">The researcher should pursue advanced training in bioinformatics to enhance data analysis capabilities.</w:t>
      </w:r>
    </w:p>
    <w:p>
      <w:pPr>
        <w:numPr>
          <w:ilvl w:val="0"/>
          <w:numId w:val="1002"/>
        </w:numPr>
        <w:pStyle w:val="Compact"/>
      </w:pPr>
      <w:r>
        <w:rPr>
          <w:bCs/>
          <w:b/>
        </w:rPr>
        <w:t xml:space="preserve">Expansion:</w:t>
      </w:r>
      <w:r>
        <w:t xml:space="preserve"> </w:t>
      </w:r>
      <w:r>
        <w:t xml:space="preserve">Encourage the researcher to lead a multi-center study involving hospitals across Uzbekistan, not limited to Tashkent.</w:t>
      </w:r>
    </w:p>
    <w:bookmarkStart w:id="26" w:name="overall-assessment-score-88100"/>
    <w:p>
      <w:pPr>
        <w:pStyle w:val="Heading3"/>
      </w:pPr>
      <w:r>
        <w:t xml:space="preserve">Overall Assessment Score: 88/100</w:t>
      </w:r>
    </w:p>
    <w:p>
      <w:pPr>
        <w:pStyle w:val="FirstParagraph"/>
      </w:pPr>
      <w:r>
        <w:rPr>
          <w:bCs/>
          <w:b/>
        </w:rPr>
        <w:t xml:space="preserve">Rating:</w:t>
      </w:r>
      <w:r>
        <w:t xml:space="preserve"> </w:t>
      </w:r>
      <w:r>
        <w:t xml:space="preserve">Excellent</w:t>
      </w:r>
    </w:p>
    <w:bookmarkEnd w:id="26"/>
    <w:p>
      <w:pPr>
        <w:pStyle w:val="BodyText"/>
      </w:pPr>
      <w:r>
        <w:rPr>
          <w:bCs/>
          <w:b/>
        </w:rPr>
        <w:t xml:space="preserve">Lead Reviewer Name</w:t>
      </w:r>
      <w:r>
        <w:br/>
      </w:r>
      <w:r>
        <w:t xml:space="preserve">Professor of Clinical Medicine</w:t>
      </w:r>
      <w:r>
        <w:br/>
      </w:r>
      <w:r>
        <w:t xml:space="preserve">Tashkent Medical Academy</w:t>
      </w:r>
    </w:p>
    <w:p>
      <w:pPr>
        <w:pStyle w:val="BodyText"/>
      </w:pPr>
      <w:r>
        <w:rPr>
          <w:bCs/>
          <w:b/>
        </w:rPr>
        <w:t xml:space="preserve">Head of Review Committee</w:t>
      </w:r>
      <w:r>
        <w:br/>
      </w:r>
      <w:r>
        <w:t xml:space="preserve">National Center for Scientific and Technical Information</w:t>
      </w:r>
      <w:r>
        <w:br/>
      </w:r>
      <w:r>
        <w:t xml:space="preserve">Uzbekistan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2026-10-10T05:52:43Z</dcterms:created>
  <dcterms:modified xsi:type="dcterms:W3CDTF">2026-10-10T05:52:43Z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