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Performance Evaluation</w:t>
      </w:r>
    </w:p>
    <w:p>
      <w:pPr>
        <w:pStyle w:val="BodyText"/>
      </w:pPr>
      <w:r>
        <w:rPr>
          <w:bCs/>
          <w:b/>
        </w:rPr>
        <w:t xml:space="preserve">Location:</w:t>
      </w:r>
      <w:r>
        <w:t xml:space="preserve"> </w:t>
      </w:r>
      <w:r>
        <w:t xml:space="preserve">Dhaka, Bangladesh</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clinical skills, professional conduct, and adherence to safety protocols of a registered Midwife operating within the healthcare infrastructure of Dhaka, Bangladesh. The review process is conducted in alignment with the standards set by the Bangladesh Nursing and Midwifery Council (BNMC) and the Ministry of Health and Family Welfare.</w:t>
      </w:r>
    </w:p>
    <w:p>
      <w:pPr>
        <w:pStyle w:val="BodyText"/>
      </w:pPr>
      <w:r>
        <w:t xml:space="preserve">The healthcare landscape in Dhaka presents unique challenges, including high patient volume, diverse socioeconomic backgrounds, and the need for rapid response to obstetric emergencies. This report evaluates how effectively the Midwife navigates these complexities while maintaining the highest standards of maternal and neonatal care. The objective is to ensure continuous quality improvement, patient safety, and professional development within the local context.</w:t>
      </w:r>
    </w:p>
    <w:bookmarkEnd w:id="21"/>
    <w:bookmarkStart w:id="22" w:name="clinical-competency-and-obstetric-care"/>
    <w:p>
      <w:pPr>
        <w:pStyle w:val="Heading2"/>
      </w:pPr>
      <w:r>
        <w:t xml:space="preserve">2. Clinical Competency and Obstetric Care</w:t>
      </w:r>
    </w:p>
    <w:p>
      <w:pPr>
        <w:pStyle w:val="FirstParagraph"/>
      </w:pPr>
      <w:r>
        <w:t xml:space="preserve">The primary focus of this review is the Midwife’s ability to manage normal and complicated pregnancies. Observations indicate a strong proficiency in antenatal care, including accurate risk assessment, monitoring of fetal heart rates, and the administration of essential supplements such as iron and folic acid, which are critical in the Bangladesh context to prevent anemia.</w:t>
      </w:r>
    </w:p>
    <w:p>
      <w:pPr>
        <w:pStyle w:val="BodyText"/>
      </w:pPr>
      <w:r>
        <w:t xml:space="preserve">During intrapartum care, the Midwife demonstrated excellent skills in monitoring labor progress using partographs, a standard tool mandated in Bangladesh to prevent prolonged labor. The ability to recognize early signs of dystocia and promptly escalate cases to senior obstetricians was observed during several high-risk deliveries. Furthermore, the Midwife adhered strictly to aseptic techniques during delivery, significantly reducing the risk of puerperal sepsis, a common concern in densely populated urban areas like Dhaka.</w:t>
      </w:r>
    </w:p>
    <w:p>
      <w:pPr>
        <w:pStyle w:val="BodyText"/>
      </w:pPr>
      <w:r>
        <w:t xml:space="preserve">Postnatal care was also evaluated. The Midwife effectively educated mothers on breastfeeding practices, neonatal hygiene, and family planning options, aligning with national health goals to reduce maternal and infant mortality rates.</w:t>
      </w:r>
    </w:p>
    <w:bookmarkEnd w:id="22"/>
    <w:bookmarkStart w:id="23" w:name="emergency-response-and-critical-care"/>
    <w:p>
      <w:pPr>
        <w:pStyle w:val="Heading2"/>
      </w:pPr>
      <w:r>
        <w:t xml:space="preserve">3. Emergency Response and Critical Care</w:t>
      </w:r>
    </w:p>
    <w:p>
      <w:pPr>
        <w:pStyle w:val="FirstParagraph"/>
      </w:pPr>
      <w:r>
        <w:t xml:space="preserve">Given the traffic congestion and logistical challenges often encountered in Dhaka, the ability of a Midwife to stabilize a patient before transfer is vital. This review highlights the Midwife’s competence in managing obstetric emergencies such as postpartum hemorrhage (PPH) and eclampsia.</w:t>
      </w:r>
    </w:p>
    <w:p>
      <w:pPr>
        <w:pStyle w:val="BodyText"/>
      </w:pPr>
      <w:r>
        <w:t xml:space="preserve">The Midwife demonstrated proficiency in administering uterotonics and managing shock protocols. In instances where immediate surgical intervention was required, the Midwife efficiently coordinated with the emergency response team and facilitated rapid referral to tertiary care centers. This proactive approach is essential in the Dhaka healthcare system, where timely access to advanced care can be the difference between life and death.</w:t>
      </w:r>
    </w:p>
    <w:bookmarkEnd w:id="23"/>
    <w:bookmarkStart w:id="24" w:name="X435633f613739fe603f8cf74a73cada258a1f2b"/>
    <w:p>
      <w:pPr>
        <w:pStyle w:val="Heading2"/>
      </w:pPr>
      <w:r>
        <w:t xml:space="preserve">4. Professional Ethics and Cultural Competence</w:t>
      </w:r>
    </w:p>
    <w:p>
      <w:pPr>
        <w:pStyle w:val="FirstParagraph"/>
      </w:pPr>
      <w:r>
        <w:t xml:space="preserve">A Midwife in Bangladesh must possess high levels of cultural sensitivity and ethical integrity. This review confirms that the Midwife respects the cultural and religious values of patients, which is crucial for building trust in the community. The Midwife maintains strict patient confidentiality and obtains informed consent for all procedures, adhering to the ethical guidelines of the BNMC.</w:t>
      </w:r>
    </w:p>
    <w:p>
      <w:pPr>
        <w:pStyle w:val="BodyText"/>
      </w:pPr>
      <w:r>
        <w:t xml:space="preserve">Communication skills were assessed as excellent. The Midwife effectively bridges the gap between medical terminology and the patient’s understanding, ensuring that mothers from various educational backgrounds are fully informed about their care. This is particularly important in Dhaka, where a mix of urban and rural migrants seek healthcare services.</w:t>
      </w:r>
    </w:p>
    <w:bookmarkEnd w:id="24"/>
    <w:bookmarkStart w:id="25" w:name="documentation-and-record-keeping"/>
    <w:p>
      <w:pPr>
        <w:pStyle w:val="Heading2"/>
      </w:pPr>
      <w:r>
        <w:t xml:space="preserve">5. Documentation and Record Keeping</w:t>
      </w:r>
    </w:p>
    <w:p>
      <w:pPr>
        <w:pStyle w:val="FirstParagraph"/>
      </w:pPr>
      <w:r>
        <w:t xml:space="preserve">Accurate documentation is a legal and clinical necessity. The Midwife’s patient records were reviewed for completeness and accuracy. It was found that all antenatal, intrapartum, and postnatal records were maintained in accordance with hospital protocols and national health standards. This diligence ensures continuity of care and provides a reliable data source for public health monitoring in Bangladesh.</w:t>
      </w:r>
    </w:p>
    <w:bookmarkEnd w:id="25"/>
    <w:bookmarkStart w:id="26" w:name="Xda79409093af40bd3d15ed7d2a5582dbca223f1"/>
    <w:p>
      <w:pPr>
        <w:pStyle w:val="Heading2"/>
      </w:pPr>
      <w:r>
        <w:t xml:space="preserve">6. Areas for Improvement and Recommendations</w:t>
      </w:r>
    </w:p>
    <w:p>
      <w:pPr>
        <w:pStyle w:val="FirstParagraph"/>
      </w:pPr>
      <w:r>
        <w:t xml:space="preserve">While the Midwife’s performance is commendable, this Peer Review Report identifies areas for further development:</w:t>
      </w:r>
    </w:p>
    <w:p>
      <w:pPr>
        <w:numPr>
          <w:ilvl w:val="0"/>
          <w:numId w:val="1001"/>
        </w:numPr>
        <w:pStyle w:val="Compact"/>
      </w:pPr>
      <w:r>
        <w:rPr>
          <w:bCs/>
          <w:b/>
        </w:rPr>
        <w:t xml:space="preserve">Advanced Life Support Training:</w:t>
      </w:r>
      <w:r>
        <w:t xml:space="preserve"> </w:t>
      </w:r>
      <w:r>
        <w:t xml:space="preserve">It is recommended that the Midwife undergo refresher training in Neonatal Resuscitation Program (NRP) to further enhance neonatal outcomes.</w:t>
      </w:r>
    </w:p>
    <w:p>
      <w:pPr>
        <w:numPr>
          <w:ilvl w:val="0"/>
          <w:numId w:val="1001"/>
        </w:numPr>
        <w:pStyle w:val="Compact"/>
      </w:pPr>
      <w:r>
        <w:rPr>
          <w:bCs/>
          <w:b/>
        </w:rPr>
        <w:t xml:space="preserve">Stress Management:</w:t>
      </w:r>
      <w:r>
        <w:t xml:space="preserve"> </w:t>
      </w:r>
      <w:r>
        <w:t xml:space="preserve">Given the high-pressure environment in Dhaka hospitals, workshops on stress management and burnout prevention are advised to ensure long-term professional well-being.</w:t>
      </w:r>
    </w:p>
    <w:p>
      <w:pPr>
        <w:numPr>
          <w:ilvl w:val="0"/>
          <w:numId w:val="1001"/>
        </w:numPr>
        <w:pStyle w:val="Compact"/>
      </w:pPr>
      <w:r>
        <w:rPr>
          <w:bCs/>
          <w:b/>
        </w:rPr>
        <w:t xml:space="preserve">Community Outreach:</w:t>
      </w:r>
      <w:r>
        <w:t xml:space="preserve"> </w:t>
      </w:r>
      <w:r>
        <w:t xml:space="preserve">The Midwife is encouraged to participate more actively in community health programs to educate families on the importance of institutional deliveries, thereby reducing home birth risks.</w:t>
      </w:r>
    </w:p>
    <w:bookmarkEnd w:id="26"/>
    <w:bookmarkStart w:id="27" w:name="conclusion"/>
    <w:p>
      <w:pPr>
        <w:pStyle w:val="Heading2"/>
      </w:pPr>
      <w:r>
        <w:t xml:space="preserve">7. Conclusion</w:t>
      </w:r>
    </w:p>
    <w:p>
      <w:pPr>
        <w:pStyle w:val="FirstParagraph"/>
      </w:pPr>
      <w:r>
        <w:t xml:space="preserve">In conclusion, this Peer Review Report affirms that the Midwife under review is a competent, ethical, and dedicated professional. Her contributions to maternal and child health in Dhaka, Bangladesh, are significant and align with the national objectives of improving healthcare quality. By addressing the recommended areas for improvement, she will continue to provide exceptional care and serve as a role model for her peers.</w:t>
      </w:r>
    </w:p>
    <w:bookmarkEnd w:id="27"/>
    <w:p>
      <w:pPr>
        <w:pStyle w:val="BodyText"/>
      </w:pPr>
      <w:r>
        <w:rPr>
          <w:bCs/>
          <w:b/>
        </w:rPr>
        <w:t xml:space="preserve">Reviewed By:</w:t>
      </w:r>
    </w:p>
    <w:p>
      <w:pPr>
        <w:pStyle w:val="BodyText"/>
      </w:pPr>
      <w:r>
        <w:t xml:space="preserve">Senior Midwife / Clinical Supervisor</w:t>
      </w:r>
    </w:p>
    <w:p>
      <w:pPr>
        <w:pStyle w:val="BodyText"/>
      </w:pPr>
      <w:r>
        <w:t xml:space="preserve">BNMC Registration No: ____________</w:t>
      </w:r>
    </w:p>
    <w:p>
      <w:pPr>
        <w:pStyle w:val="BodyText"/>
      </w:pPr>
      <w:r>
        <w:rPr>
          <w:bCs/>
          <w:b/>
        </w:rPr>
        <w:t xml:space="preserve">Midwife Under Review:</w:t>
      </w:r>
    </w:p>
    <w:p>
      <w:pPr>
        <w:pStyle w:val="BodyText"/>
      </w:pPr>
      <w:r>
        <w:t xml:space="preserve">Name: ____________</w:t>
      </w:r>
    </w:p>
    <w:p>
      <w:pPr>
        <w:pStyle w:val="BodyText"/>
      </w:pPr>
      <w:r>
        <w:t xml:space="preserve">BNMC Registration No: 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Performance Evaluation</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