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Subject: Professional Musician Evaluation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Brussels, Belgium</w:t>
      </w:r>
    </w:p>
    <w:p>
      <w:pPr>
        <w:pStyle w:val="BodyText"/>
      </w:pPr>
      <w:r>
        <w:rPr>
          <w:bCs/>
          <w:b/>
        </w:rPr>
        <w:t xml:space="preserve">Reviewer ID:</w:t>
      </w:r>
      <w:r>
        <w:t xml:space="preserve"> </w:t>
      </w:r>
      <w:r>
        <w:t xml:space="preserve">BRU-PEER-042</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artistic integrity, and technical proficiency of the subject</w:t>
      </w:r>
      <w:r>
        <w:t xml:space="preserve"> </w:t>
      </w:r>
      <w:r>
        <w:rPr>
          <w:bCs/>
          <w:b/>
        </w:rPr>
        <w:t xml:space="preserve">Musician</w:t>
      </w:r>
      <w:r>
        <w:t xml:space="preserve">. The assessment was conducted within the vibrant and culturally diverse context of</w:t>
      </w:r>
      <w:r>
        <w:t xml:space="preserve"> </w:t>
      </w:r>
      <w:r>
        <w:rPr>
          <w:bCs/>
          <w:b/>
        </w:rPr>
        <w:t xml:space="preserve">Belgium Brussels</w:t>
      </w:r>
      <w:r>
        <w:t xml:space="preserve">, a city renowned for its rigorous standards in the performing arts. The review panel, consisting of three senior industry professionals based in the Brussels-Capital Region, analyzed the subject's recent performances, repertoire selection, and collaborative dynamics.</w:t>
      </w:r>
    </w:p>
    <w:p>
      <w:pPr>
        <w:pStyle w:val="BodyText"/>
      </w:pPr>
      <w:r>
        <w:t xml:space="preserve">The primary objective of this report is to provide a factual, unbiased analysis of the Musician's current standing in the local industry. Given Brussels' unique position as a hub for both classical heritage and contemporary innovation, the criteria for this review are stringent. The findings indicate a high level of competence, though specific areas regarding adaptability to the multilingual environment of Brussels require attention.</w:t>
      </w:r>
    </w:p>
    <w:bookmarkEnd w:id="21"/>
    <w:bookmarkStart w:id="22" w:name="X8846223d11aabf6799e9dc1328319b994b0f905"/>
    <w:p>
      <w:pPr>
        <w:pStyle w:val="Heading2"/>
      </w:pPr>
      <w:r>
        <w:t xml:space="preserve">2. Contextual Framework: The Brussels Music Scene</w:t>
      </w:r>
    </w:p>
    <w:p>
      <w:pPr>
        <w:pStyle w:val="FirstParagraph"/>
      </w:pPr>
      <w:r>
        <w:t xml:space="preserve">To accurately assess a</w:t>
      </w:r>
      <w:r>
        <w:t xml:space="preserve"> </w:t>
      </w:r>
      <w:r>
        <w:rPr>
          <w:bCs/>
          <w:b/>
        </w:rPr>
        <w:t xml:space="preserve">Musician</w:t>
      </w:r>
      <w:r>
        <w:t xml:space="preserve"> </w:t>
      </w:r>
      <w:r>
        <w:t xml:space="preserve">in</w:t>
      </w:r>
      <w:r>
        <w:t xml:space="preserve"> </w:t>
      </w:r>
      <w:r>
        <w:rPr>
          <w:bCs/>
          <w:b/>
        </w:rPr>
        <w:t xml:space="preserve">Belgium Brussels</w:t>
      </w:r>
      <w:r>
        <w:t xml:space="preserve">, one must understand the specific demands of the locale. Brussels is not merely a venue; it is a complex ecosystem comprising the Royal Conservatory of Brussels, the Brussels Philharmonic, and a thriving underground jazz and electronic scene. A successful Musician here must navigate a trilingual environment (French, Dutch, English) and possess the versatility to perform in historic venues like the Bozar as well as modern spaces in the Marolles district.</w:t>
      </w:r>
    </w:p>
    <w:p>
      <w:pPr>
        <w:pStyle w:val="BodyText"/>
      </w:pPr>
      <w:r>
        <w:t xml:space="preserve">This</w:t>
      </w:r>
      <w:r>
        <w:t xml:space="preserve"> </w:t>
      </w:r>
      <w:r>
        <w:rPr>
          <w:bCs/>
          <w:b/>
        </w:rPr>
        <w:t xml:space="preserve">Peer Review Report</w:t>
      </w:r>
      <w:r>
        <w:t xml:space="preserve"> </w:t>
      </w:r>
      <w:r>
        <w:t xml:space="preserve">evaluates the subject against these specific regional benchmarks. The review considers how well the Musician integrates into the Belgian cultural fabric and whether their artistic output resonates with the cosmopolitan audience typical of Brussels.</w:t>
      </w:r>
    </w:p>
    <w:bookmarkEnd w:id="22"/>
    <w:bookmarkStart w:id="25" w:name="technical-proficiency-and-artistic-merit"/>
    <w:p>
      <w:pPr>
        <w:pStyle w:val="Heading2"/>
      </w:pPr>
      <w:r>
        <w:t xml:space="preserve">3. Technical Proficiency and Artistic Merit</w:t>
      </w:r>
    </w:p>
    <w:bookmarkStart w:id="23" w:name="instrumental-mastery"/>
    <w:p>
      <w:pPr>
        <w:pStyle w:val="Heading3"/>
      </w:pPr>
      <w:r>
        <w:t xml:space="preserve">3.1 Instrumental Mastery</w:t>
      </w:r>
    </w:p>
    <w:p>
      <w:pPr>
        <w:pStyle w:val="FirstParagraph"/>
      </w:pPr>
      <w:r>
        <w:t xml:space="preserve">The subject demonstrates exceptional technical control over their instrument. During the observed sessions at the reviewed venue in central Brussels, the Musician displayed precision in intonation, rhythm, and dynamic range. The peer panel noted that the technical execution met the high standards expected of professionals operating in Belgium's competitive market. There were no significant errors in execution, and the handling of complex passages was fluid.</w:t>
      </w:r>
    </w:p>
    <w:bookmarkEnd w:id="23"/>
    <w:bookmarkStart w:id="24" w:name="repertoire-and-interpretation"/>
    <w:p>
      <w:pPr>
        <w:pStyle w:val="Heading3"/>
      </w:pPr>
      <w:r>
        <w:t xml:space="preserve">3.2 Repertoire and Interpretation</w:t>
      </w:r>
    </w:p>
    <w:p>
      <w:pPr>
        <w:pStyle w:val="FirstParagraph"/>
      </w:pPr>
      <w:r>
        <w:t xml:space="preserve">The selection of repertoire was largely appropriate for the Brussels audience. The Musician showed a strong grasp of the standard canon, which is essential for securing engagements with established Belgian orchestras and ensembles. However, the review panel suggests that incorporating more contemporary Belgian composers or works that reflect the multicultural identity of Brussels could enhance the Musician's appeal and relevance in the local scene. The interpretation was emotionally resonant, though occasionally lacked the boldness required to stand out in a city saturated with talent.</w:t>
      </w:r>
    </w:p>
    <w:bookmarkEnd w:id="24"/>
    <w:bookmarkEnd w:id="25"/>
    <w:bookmarkStart w:id="28" w:name="professionalism-and-collaboration"/>
    <w:p>
      <w:pPr>
        <w:pStyle w:val="Heading2"/>
      </w:pPr>
      <w:r>
        <w:t xml:space="preserve">4. Professionalism and Collaboration</w:t>
      </w:r>
    </w:p>
    <w:bookmarkStart w:id="26" w:name="ensemble-dynamics"/>
    <w:p>
      <w:pPr>
        <w:pStyle w:val="Heading3"/>
      </w:pPr>
      <w:r>
        <w:t xml:space="preserve">4.1 Ensemble Dynamics</w:t>
      </w:r>
    </w:p>
    <w:p>
      <w:pPr>
        <w:pStyle w:val="FirstParagraph"/>
      </w:pPr>
      <w:r>
        <w:t xml:space="preserve">A critical component of this</w:t>
      </w:r>
      <w:r>
        <w:t xml:space="preserve"> </w:t>
      </w:r>
      <w:r>
        <w:rPr>
          <w:bCs/>
          <w:b/>
        </w:rPr>
        <w:t xml:space="preserve">Peer Review Report</w:t>
      </w:r>
      <w:r>
        <w:t xml:space="preserve"> </w:t>
      </w:r>
      <w:r>
        <w:t xml:space="preserve">is the assessment of the Musician's ability to collaborate. In Brussels, where cross-border and cross-genre collaborations are frequent, the ability to listen and adapt is paramount. The subject was observed to be a supportive ensemble player, maintaining excellent eye contact and responsiveness to conductors and fellow musicians. The Musician demonstrated a respectful attitude towards the diverse backgrounds of their colleagues, a vital trait in the international community of Brussels.</w:t>
      </w:r>
    </w:p>
    <w:bookmarkEnd w:id="26"/>
    <w:bookmarkStart w:id="27" w:name="punctuality-and-preparation"/>
    <w:p>
      <w:pPr>
        <w:pStyle w:val="Heading3"/>
      </w:pPr>
      <w:r>
        <w:t xml:space="preserve">4.2 Punctuality and Preparation</w:t>
      </w:r>
    </w:p>
    <w:p>
      <w:pPr>
        <w:pStyle w:val="FirstParagraph"/>
      </w:pPr>
      <w:r>
        <w:t xml:space="preserve">The Musician adhered strictly to rehearsal schedules and arrived prepared with fully annotated scores. This level of professionalism aligns with the expectations of Belgian arts organizations, which value reliability and efficiency. The subject's administrative communication was clear and professional, facilitating smooth logistics for the production team.</w:t>
      </w:r>
    </w:p>
    <w:bookmarkEnd w:id="27"/>
    <w:bookmarkEnd w:id="28"/>
    <w:bookmarkStart w:id="29" w:name="quantitative-assessment"/>
    <w:p>
      <w:pPr>
        <w:pStyle w:val="Heading2"/>
      </w:pPr>
      <w:r>
        <w:t xml:space="preserve">5. Quantitative Assessment</w:t>
      </w:r>
    </w:p>
    <w:p>
      <w:pPr>
        <w:pStyle w:val="FirstParagraph"/>
      </w:pPr>
      <w:r>
        <w:t xml:space="preserve">The following table summarizes the scoring provided by the peer review panel. Scores are based on a scale of 1 to 10, where 10 represents excellence within the context of the Brussels professional music industry.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Score</w:t>
            </w:r>
          </w:p>
        </w:tc>
      </w:tr>
      <w:tr>
        <w:tc>
          <w:tcPr/>
          <w:p>
            <w:pPr>
              <w:pStyle w:val="Compact"/>
              <w:jc w:val="left"/>
            </w:pPr>
            <w:r>
              <w:t xml:space="preserve">Technical Skill</w:t>
            </w:r>
          </w:p>
        </w:tc>
        <w:tc>
          <w:tcPr/>
          <w:p>
            <w:pPr>
              <w:pStyle w:val="Compact"/>
              <w:jc w:val="left"/>
            </w:pPr>
            <w:r>
              <w:t xml:space="preserve">Precision, tone quality, and instrumental control.</w:t>
            </w:r>
          </w:p>
        </w:tc>
        <w:tc>
          <w:tcPr/>
          <w:p>
            <w:pPr>
              <w:pStyle w:val="Compact"/>
              <w:jc w:val="left"/>
            </w:pPr>
            <w:r>
              <w:t xml:space="preserve">9/10</w:t>
            </w:r>
          </w:p>
        </w:tc>
      </w:tr>
      <w:tr>
        <w:tc>
          <w:tcPr/>
          <w:p>
            <w:pPr>
              <w:pStyle w:val="Compact"/>
              <w:jc w:val="left"/>
            </w:pPr>
            <w:r>
              <w:t xml:space="preserve">Artistic Interpretation</w:t>
            </w:r>
          </w:p>
        </w:tc>
        <w:tc>
          <w:tcPr/>
          <w:p>
            <w:pPr>
              <w:pStyle w:val="Compact"/>
              <w:jc w:val="left"/>
            </w:pPr>
            <w:r>
              <w:t xml:space="preserve">Emotional depth and stylistic accuracy.</w:t>
            </w:r>
          </w:p>
        </w:tc>
        <w:tc>
          <w:tcPr/>
          <w:p>
            <w:pPr>
              <w:pStyle w:val="Compact"/>
              <w:jc w:val="left"/>
            </w:pPr>
            <w:r>
              <w:t xml:space="preserve">8/10</w:t>
            </w:r>
          </w:p>
        </w:tc>
      </w:tr>
      <w:tr>
        <w:tc>
          <w:tcPr/>
          <w:p>
            <w:pPr>
              <w:pStyle w:val="Compact"/>
              <w:jc w:val="left"/>
            </w:pPr>
            <w:r>
              <w:t xml:space="preserve">Local Adaptability</w:t>
            </w:r>
          </w:p>
        </w:tc>
        <w:tc>
          <w:tcPr/>
          <w:p>
            <w:pPr>
              <w:pStyle w:val="Compact"/>
              <w:jc w:val="left"/>
            </w:pPr>
            <w:r>
              <w:t xml:space="preserve">Fit within the Brussels cultural and linguistic context.</w:t>
            </w:r>
          </w:p>
        </w:tc>
        <w:tc>
          <w:tcPr/>
          <w:p>
            <w:pPr>
              <w:pStyle w:val="Compact"/>
              <w:jc w:val="left"/>
            </w:pPr>
            <w:r>
              <w:t xml:space="preserve">7/10</w:t>
            </w:r>
          </w:p>
        </w:tc>
      </w:tr>
      <w:tr>
        <w:tc>
          <w:tcPr/>
          <w:p>
            <w:pPr>
              <w:pStyle w:val="Compact"/>
              <w:jc w:val="left"/>
            </w:pPr>
            <w:r>
              <w:t xml:space="preserve">Professionalism</w:t>
            </w:r>
          </w:p>
        </w:tc>
        <w:tc>
          <w:tcPr/>
          <w:p>
            <w:pPr>
              <w:pStyle w:val="Compact"/>
              <w:jc w:val="left"/>
            </w:pPr>
            <w:r>
              <w:t xml:space="preserve">Punctuality, preparation, and conduct.</w:t>
            </w:r>
          </w:p>
        </w:tc>
        <w:tc>
          <w:tcPr/>
          <w:p>
            <w:pPr>
              <w:pStyle w:val="Compact"/>
              <w:jc w:val="left"/>
            </w:pPr>
            <w:r>
              <w:t xml:space="preserve">10/10</w:t>
            </w:r>
          </w:p>
        </w:tc>
      </w:tr>
      <w:tr>
        <w:tc>
          <w:tcPr/>
          <w:p>
            <w:pPr>
              <w:pStyle w:val="Compact"/>
              <w:jc w:val="left"/>
            </w:pPr>
            <w:r>
              <w:t xml:space="preserve">Collaboration</w:t>
            </w:r>
          </w:p>
        </w:tc>
        <w:tc>
          <w:tcPr/>
          <w:p>
            <w:pPr>
              <w:pStyle w:val="Compact"/>
              <w:jc w:val="left"/>
            </w:pPr>
            <w:r>
              <w:t xml:space="preserve">Ability to work within an ensemble.</w:t>
            </w:r>
          </w:p>
        </w:tc>
        <w:tc>
          <w:tcPr/>
          <w:p>
            <w:pPr>
              <w:pStyle w:val="Compact"/>
              <w:jc w:val="left"/>
            </w:pPr>
            <w:r>
              <w:t xml:space="preserve">9/10</w:t>
            </w:r>
          </w:p>
        </w:tc>
      </w:tr>
    </w:tbl>
    <w:bookmarkEnd w:id="29"/>
    <w:bookmarkStart w:id="30" w:name="recommendations-and-conclusion"/>
    <w:p>
      <w:pPr>
        <w:pStyle w:val="Heading2"/>
      </w:pPr>
      <w:r>
        <w:t xml:space="preserve">6. Recommendations and Conclusion</w:t>
      </w:r>
    </w:p>
    <w:p>
      <w:pPr>
        <w:pStyle w:val="FirstParagraph"/>
      </w:pPr>
      <w:r>
        <w:t xml:space="preserve">Based on the evidence gathered in this</w:t>
      </w:r>
      <w:r>
        <w:t xml:space="preserve"> </w:t>
      </w:r>
      <w:r>
        <w:rPr>
          <w:bCs/>
          <w:b/>
        </w:rPr>
        <w:t xml:space="preserve">Peer Review Report</w:t>
      </w:r>
      <w:r>
        <w:t xml:space="preserve">, the subject</w:t>
      </w:r>
      <w:r>
        <w:t xml:space="preserve"> </w:t>
      </w:r>
      <w:r>
        <w:rPr>
          <w:bCs/>
          <w:b/>
        </w:rPr>
        <w:t xml:space="preserve">Musician</w:t>
      </w:r>
      <w:r>
        <w:t xml:space="preserve"> </w:t>
      </w:r>
      <w:r>
        <w:t xml:space="preserve">is deemed highly competent and well-suited for professional engagement in</w:t>
      </w:r>
      <w:r>
        <w:t xml:space="preserve"> </w:t>
      </w:r>
      <w:r>
        <w:rPr>
          <w:bCs/>
          <w:b/>
        </w:rPr>
        <w:t xml:space="preserve">Belgium Brussels</w:t>
      </w:r>
      <w:r>
        <w:t xml:space="preserve">. The technical foundation is solid, and the professional demeanor is exemplary.</w:t>
      </w:r>
    </w:p>
    <w:p>
      <w:pPr>
        <w:pStyle w:val="BodyText"/>
      </w:pPr>
      <w:r>
        <w:rPr>
          <w:bCs/>
          <w:b/>
        </w:rPr>
        <w:t xml:space="preserve">Key Recommendations:</w:t>
      </w:r>
    </w:p>
    <w:p>
      <w:pPr>
        <w:numPr>
          <w:ilvl w:val="0"/>
          <w:numId w:val="1001"/>
        </w:numPr>
        <w:pStyle w:val="Compact"/>
      </w:pPr>
      <w:r>
        <w:rPr>
          <w:bCs/>
          <w:b/>
        </w:rPr>
        <w:t xml:space="preserve">Cultural Integration:</w:t>
      </w:r>
      <w:r>
        <w:t xml:space="preserve"> </w:t>
      </w:r>
      <w:r>
        <w:t xml:space="preserve">The Musician should actively seek to understand the specific cultural nuances of Brussels. Engaging with local arts festivals and networking within Belgian music unions will be beneficial.</w:t>
      </w:r>
    </w:p>
    <w:p>
      <w:pPr>
        <w:numPr>
          <w:ilvl w:val="0"/>
          <w:numId w:val="1001"/>
        </w:numPr>
        <w:pStyle w:val="Compact"/>
      </w:pPr>
      <w:r>
        <w:rPr>
          <w:bCs/>
          <w:b/>
        </w:rPr>
        <w:t xml:space="preserve">Repertoire Expansion:</w:t>
      </w:r>
      <w:r>
        <w:t xml:space="preserve"> </w:t>
      </w:r>
      <w:r>
        <w:t xml:space="preserve">It is recommended that the Musician diversify their repertoire to include works by Belgian composers, thereby demonstrating a commitment to the local artistic heritage.</w:t>
      </w:r>
    </w:p>
    <w:p>
      <w:pPr>
        <w:numPr>
          <w:ilvl w:val="0"/>
          <w:numId w:val="1001"/>
        </w:numPr>
        <w:pStyle w:val="Compact"/>
      </w:pPr>
      <w:r>
        <w:rPr>
          <w:bCs/>
          <w:b/>
        </w:rPr>
        <w:t xml:space="preserve">Linguistic Flexibility:</w:t>
      </w:r>
      <w:r>
        <w:t xml:space="preserve"> </w:t>
      </w:r>
      <w:r>
        <w:t xml:space="preserve">While English is widely spoken, acquiring basic proficiency in French or Dutch will significantly improve the Musician's ability to communicate with local stakeholders and audiences.</w:t>
      </w:r>
    </w:p>
    <w:p>
      <w:pPr>
        <w:pStyle w:val="FirstParagraph"/>
      </w:pPr>
      <w:r>
        <w:t xml:space="preserve">In conclusion, this Musician represents a valuable asset to the Brussels music community. With minor adjustments to their cultural approach and repertoire strategy, they are poised for sustained success in the region. This report confirms their eligibility for continued collaboration and professional development within the Belgian arts sector.</w:t>
      </w:r>
    </w:p>
    <w:bookmarkEnd w:id="30"/>
    <w:p>
      <w:pPr>
        <w:pStyle w:val="BodyText"/>
      </w:pPr>
      <w:r>
        <w:t xml:space="preserve">This document is an official Peer Review Report generated for professional evaluation purposes.</w:t>
      </w:r>
      <w:r>
        <w:br/>
      </w:r>
      <w:r>
        <w:t xml:space="preserve">Valid for use within the Brussels-Capital Region, Belgium.</w:t>
      </w:r>
      <w:r>
        <w:br/>
      </w:r>
      <w:r>
        <w:t xml:space="preserve">© 2023 Brussels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2026-10-10T07:03:16Z</dcterms:created>
  <dcterms:modified xsi:type="dcterms:W3CDTF">2026-10-10T07:03:16Z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