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Standards</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peer-review-report"/>
    <w:p>
      <w:pPr>
        <w:pStyle w:val="Heading1"/>
      </w:pPr>
      <w:r>
        <w:t xml:space="preserve">Peer Review Report</w:t>
      </w:r>
    </w:p>
    <w:bookmarkStart w:id="20" w:name="X6e6343ae0c2ae1699f00c783fba5d7e03d72d92"/>
    <w:p>
      <w:pPr>
        <w:pStyle w:val="Heading2"/>
      </w:pPr>
      <w:r>
        <w:t xml:space="preserve">Professional Competency Assessment: Musician</w:t>
      </w:r>
    </w:p>
    <w:p>
      <w:pPr>
        <w:pStyle w:val="FirstParagraph"/>
      </w:pPr>
      <w:r>
        <w:rPr>
          <w:bCs/>
          <w:b/>
        </w:rPr>
        <w:t xml:space="preserve">Location Context:</w:t>
      </w:r>
      <w:r>
        <w:t xml:space="preserve"> </w:t>
      </w:r>
      <w:r>
        <w:t xml:space="preserve">Malaysia Kuala Lumpur</w:t>
      </w:r>
    </w:p>
    <w:bookmarkEnd w:id="20"/>
    <w:bookmarkEnd w:id="21"/>
    <w:p>
      <w:pPr>
        <w:pStyle w:val="BodyText"/>
      </w:pPr>
      <w:r>
        <w:t xml:space="preserve">Report ID:</w:t>
      </w:r>
      <w:r>
        <w:t xml:space="preserve"> </w:t>
      </w:r>
      <w:r>
        <w:t xml:space="preserve">KL-MUS-2023-089</w:t>
      </w:r>
    </w:p>
    <w:p>
      <w:pPr>
        <w:pStyle w:val="BodyText"/>
      </w:pPr>
      <w:r>
        <w:t xml:space="preserve">Date:</w:t>
      </w:r>
      <w:r>
        <w:t xml:space="preserve"> </w:t>
      </w:r>
      <w:r>
        <w:t xml:space="preserve">October 24, 2023</w:t>
      </w:r>
    </w:p>
    <w:p>
      <w:pPr>
        <w:pStyle w:val="BodyText"/>
      </w:pPr>
      <w:r>
        <w:t xml:space="preserve">Reviewer Panel:</w:t>
      </w:r>
      <w:r>
        <w:t xml:space="preserve"> </w:t>
      </w:r>
      <w:r>
        <w:t xml:space="preserve">KL Arts Council &amp; Industry Peers</w:t>
      </w:r>
    </w:p>
    <w:p>
      <w:pPr>
        <w:pStyle w:val="BodyText"/>
      </w:pPr>
      <w:r>
        <w:t xml:space="preserve">Subject:</w:t>
      </w:r>
      <w:r>
        <w:t xml:space="preserve"> </w:t>
      </w:r>
      <w:r>
        <w:t xml:space="preserve">Freelance &amp; Contract Musician Standards</w:t>
      </w:r>
    </w:p>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current professional standards, technical proficiency, and cultural adaptability of the</w:t>
      </w:r>
      <w:r>
        <w:t xml:space="preserve"> </w:t>
      </w:r>
      <w:r>
        <w:rPr>
          <w:bCs/>
          <w:b/>
        </w:rPr>
        <w:t xml:space="preserve">Musician</w:t>
      </w:r>
      <w:r>
        <w:t xml:space="preserve"> </w:t>
      </w:r>
      <w:r>
        <w:t xml:space="preserve">demographic operating within the vibrant entertainment landscape of</w:t>
      </w:r>
      <w:r>
        <w:t xml:space="preserve"> </w:t>
      </w:r>
      <w:r>
        <w:rPr>
          <w:bCs/>
          <w:b/>
        </w:rPr>
        <w:t xml:space="preserve">Malaysia Kuala Lumpur</w:t>
      </w:r>
      <w:r>
        <w:t xml:space="preserve">. As the capital city of Malaysia, Kuala Lumpur serves as a melting pot of Malay, Chinese, Indian, and indigenous cultures, creating a unique and demanding environment for musical performance. This document aims to provide a comprehensive analysis of how musicians in this region are meeting industry expectations regarding versatility, technical skill, and professional conduct.</w:t>
      </w:r>
    </w:p>
    <w:bookmarkEnd w:id="22"/>
    <w:bookmarkStart w:id="23" w:name="introduction-and-scope"/>
    <w:p>
      <w:pPr>
        <w:pStyle w:val="Heading2"/>
      </w:pPr>
      <w:r>
        <w:t xml:space="preserve">2. Introduction and Scope</w:t>
      </w:r>
    </w:p>
    <w:p>
      <w:pPr>
        <w:pStyle w:val="FirstParagraph"/>
      </w:pPr>
      <w:r>
        <w:t xml:space="preserve">The role of a</w:t>
      </w:r>
      <w:r>
        <w:t xml:space="preserve"> </w:t>
      </w:r>
      <w:r>
        <w:rPr>
          <w:bCs/>
          <w:b/>
        </w:rPr>
        <w:t xml:space="preserve">Musician</w:t>
      </w:r>
      <w:r>
        <w:t xml:space="preserve"> </w:t>
      </w:r>
      <w:r>
        <w:t xml:space="preserve">in</w:t>
      </w:r>
      <w:r>
        <w:t xml:space="preserve"> </w:t>
      </w:r>
      <w:r>
        <w:rPr>
          <w:bCs/>
          <w:b/>
        </w:rPr>
        <w:t xml:space="preserve">Malaysia Kuala Lumpur</w:t>
      </w:r>
      <w:r>
        <w:t xml:space="preserve"> </w:t>
      </w:r>
      <w:r>
        <w:t xml:space="preserve">extends far beyond simple performance. It requires a deep understanding of the local socio-cultural fabric, the ability to navigate a multilingual environment, and the technical prowess to perform in diverse venues ranging from high-end hotels in Bukit Bintang to traditional cultural centers in the city center. This</w:t>
      </w:r>
      <w:r>
        <w:t xml:space="preserve"> </w:t>
      </w:r>
      <w:r>
        <w:rPr>
          <w:bCs/>
          <w:b/>
        </w:rPr>
        <w:t xml:space="preserve">Peer Review Report</w:t>
      </w:r>
      <w:r>
        <w:t xml:space="preserve"> </w:t>
      </w:r>
      <w:r>
        <w:t xml:space="preserve">assesses these critical areas based on feedback from event organizers, venue managers, and fellow industry professionals.</w:t>
      </w:r>
    </w:p>
    <w:p>
      <w:pPr>
        <w:pStyle w:val="BodyText"/>
      </w:pPr>
      <w:r>
        <w:t xml:space="preserve">The scope of this review covers instrumentalists, vocalists, and session musicians who actively participate in the commercial and cultural music sectors of Kuala Lumpur. The evaluation criteria are designed to reflect the specific demands of the Malaysian market, where fusion genres and cross-cultural collaboration are highly valued.</w:t>
      </w:r>
    </w:p>
    <w:bookmarkEnd w:id="23"/>
    <w:bookmarkStart w:id="24" w:name="evaluation-criteria-and-methodology"/>
    <w:p>
      <w:pPr>
        <w:pStyle w:val="Heading2"/>
      </w:pPr>
      <w:r>
        <w:t xml:space="preserve">3. Evaluation Criteria and Methodology</w:t>
      </w:r>
    </w:p>
    <w:p>
      <w:pPr>
        <w:pStyle w:val="FirstParagraph"/>
      </w:pPr>
      <w:r>
        <w:t xml:space="preserve">The assessment was conducted through a series of structured interviews, live performance observations, and anonymous surveys distributed among peers in the Kuala Lumpur music community. The following key performance indicators (KPIs) were utilized to gauge the effectiveness of the</w:t>
      </w:r>
      <w:r>
        <w:t xml:space="preserve"> </w:t>
      </w:r>
      <w:r>
        <w:rPr>
          <w:bCs/>
          <w:b/>
        </w:rPr>
        <w:t xml:space="preserve">Musician</w:t>
      </w:r>
      <w:r>
        <w:t xml:space="preserve"> </w:t>
      </w:r>
      <w:r>
        <w:t xml:space="preserve">in this specific locale:</w:t>
      </w:r>
    </w:p>
    <w:p>
      <w:pPr>
        <w:numPr>
          <w:ilvl w:val="0"/>
          <w:numId w:val="1001"/>
        </w:numPr>
        <w:pStyle w:val="Compact"/>
      </w:pPr>
      <w:r>
        <w:rPr>
          <w:bCs/>
          <w:b/>
        </w:rPr>
        <w:t xml:space="preserve">Technical Proficiency:</w:t>
      </w:r>
      <w:r>
        <w:t xml:space="preserve"> </w:t>
      </w:r>
      <w:r>
        <w:t xml:space="preserve">Mastery of instrument and vocal technique.</w:t>
      </w:r>
    </w:p>
    <w:p>
      <w:pPr>
        <w:numPr>
          <w:ilvl w:val="0"/>
          <w:numId w:val="1001"/>
        </w:numPr>
        <w:pStyle w:val="Compact"/>
      </w:pPr>
      <w:r>
        <w:rPr>
          <w:bCs/>
          <w:b/>
        </w:rPr>
        <w:t xml:space="preserve">Cultural Versatility:</w:t>
      </w:r>
      <w:r>
        <w:t xml:space="preserve"> </w:t>
      </w:r>
      <w:r>
        <w:t xml:space="preserve">Ability to perform traditional Malay, Chinese, Indian, and Western genres.</w:t>
      </w:r>
    </w:p>
    <w:p>
      <w:pPr>
        <w:numPr>
          <w:ilvl w:val="0"/>
          <w:numId w:val="1001"/>
        </w:numPr>
        <w:pStyle w:val="Compact"/>
      </w:pPr>
      <w:r>
        <w:rPr>
          <w:bCs/>
          <w:b/>
        </w:rPr>
        <w:t xml:space="preserve">Professionalism:</w:t>
      </w:r>
      <w:r>
        <w:t xml:space="preserve"> </w:t>
      </w:r>
      <w:r>
        <w:t xml:space="preserve">Punctuality, attire, and conduct in a multicultural workplace.</w:t>
      </w:r>
    </w:p>
    <w:p>
      <w:pPr>
        <w:numPr>
          <w:ilvl w:val="0"/>
          <w:numId w:val="1001"/>
        </w:numPr>
        <w:pStyle w:val="Compact"/>
      </w:pPr>
      <w:r>
        <w:rPr>
          <w:bCs/>
          <w:b/>
        </w:rPr>
        <w:t xml:space="preserve">Adaptability:</w:t>
      </w:r>
      <w:r>
        <w:t xml:space="preserve"> </w:t>
      </w:r>
      <w:r>
        <w:t xml:space="preserve">Capacity to adjust to varying acoustics and audience demographics in Kuala Lumpur venues.</w:t>
      </w:r>
    </w:p>
    <w:bookmarkEnd w:id="24"/>
    <w:bookmarkStart w:id="28" w:name="detailed-findings"/>
    <w:p>
      <w:pPr>
        <w:pStyle w:val="Heading2"/>
      </w:pPr>
      <w:r>
        <w:t xml:space="preserve">4. Detailed Findings</w:t>
      </w:r>
    </w:p>
    <w:bookmarkStart w:id="25" w:name="X97b680d051ca862ee3b11fa2f89b62291861e4f"/>
    <w:p>
      <w:pPr>
        <w:pStyle w:val="Heading3"/>
      </w:pPr>
      <w:r>
        <w:t xml:space="preserve">4.1 Technical Proficiency and Artistic Quality</w:t>
      </w:r>
    </w:p>
    <w:p>
      <w:pPr>
        <w:pStyle w:val="FirstParagraph"/>
      </w:pPr>
      <w:r>
        <w:t xml:space="preserve">The</w:t>
      </w:r>
      <w:r>
        <w:t xml:space="preserve"> </w:t>
      </w:r>
      <w:r>
        <w:rPr>
          <w:bCs/>
          <w:b/>
        </w:rPr>
        <w:t xml:space="preserve">Peer Review Report</w:t>
      </w:r>
      <w:r>
        <w:t xml:space="preserve"> </w:t>
      </w:r>
      <w:r>
        <w:t xml:space="preserve">indicates a high level of technical skill among musicians in</w:t>
      </w:r>
      <w:r>
        <w:t xml:space="preserve"> </w:t>
      </w:r>
      <w:r>
        <w:rPr>
          <w:bCs/>
          <w:b/>
        </w:rPr>
        <w:t xml:space="preserve">Malaysia Kuala Lumpur</w:t>
      </w:r>
      <w:r>
        <w:t xml:space="preserve">. Many professionals have undergone rigorous training, both locally at institutions like the Academy of Arts, Science and Technology (AAS) and internationally. However, there is a noted disparity between classical training and practical application in commercial settings. While technical accuracy is generally excellent, the ability to improvise and adapt to the dynamic energy of a Kuala Lumpur crowd is an area where some musicians require further development.</w:t>
      </w:r>
    </w:p>
    <w:bookmarkEnd w:id="25"/>
    <w:bookmarkStart w:id="26" w:name="cultural-adaptability-and-repertoire"/>
    <w:p>
      <w:pPr>
        <w:pStyle w:val="Heading3"/>
      </w:pPr>
      <w:r>
        <w:t xml:space="preserve">4.2 Cultural Adaptability and Repertoire</w:t>
      </w:r>
    </w:p>
    <w:p>
      <w:pPr>
        <w:pStyle w:val="FirstParagraph"/>
      </w:pPr>
      <w:r>
        <w:t xml:space="preserve">A defining characteristic of the</w:t>
      </w:r>
      <w:r>
        <w:t xml:space="preserve"> </w:t>
      </w:r>
      <w:r>
        <w:rPr>
          <w:bCs/>
          <w:b/>
        </w:rPr>
        <w:t xml:space="preserve">Musician</w:t>
      </w:r>
      <w:r>
        <w:t xml:space="preserve"> </w:t>
      </w:r>
      <w:r>
        <w:t xml:space="preserve">in</w:t>
      </w:r>
      <w:r>
        <w:t xml:space="preserve"> </w:t>
      </w:r>
      <w:r>
        <w:rPr>
          <w:bCs/>
          <w:b/>
        </w:rPr>
        <w:t xml:space="preserve">Malaysia Kuala Lumpur</w:t>
      </w:r>
      <w:r>
        <w:t xml:space="preserve"> </w:t>
      </w:r>
      <w:r>
        <w:t xml:space="preserve">is the necessity for cultural fluency. The review highlights that the most successful musicians are those who can seamlessly blend genres. For instance, the ability to incorporate elements of traditional</w:t>
      </w:r>
      <w:r>
        <w:t xml:space="preserve"> </w:t>
      </w:r>
      <w:r>
        <w:rPr>
          <w:iCs/>
          <w:i/>
        </w:rPr>
        <w:t xml:space="preserve">gamelan</w:t>
      </w:r>
      <w:r>
        <w:t xml:space="preserve"> </w:t>
      </w:r>
      <w:r>
        <w:t xml:space="preserve">or</w:t>
      </w:r>
      <w:r>
        <w:t xml:space="preserve"> </w:t>
      </w:r>
      <w:r>
        <w:rPr>
          <w:iCs/>
          <w:i/>
        </w:rPr>
        <w:t xml:space="preserve">rebana</w:t>
      </w:r>
      <w:r>
        <w:t xml:space="preserve"> </w:t>
      </w:r>
      <w:r>
        <w:t xml:space="preserve">into modern pop arrangements is highly regarded. Conversely, musicians who rely solely on a Western-centric repertoire often find their opportunities limited to specific expatriate-focused venues. The report emphasizes that cultural sensitivity and musical inclusivity are paramount in this diverse city.</w:t>
      </w:r>
    </w:p>
    <w:bookmarkEnd w:id="26"/>
    <w:bookmarkStart w:id="27" w:name="professional-conduct-and-reliability"/>
    <w:p>
      <w:pPr>
        <w:pStyle w:val="Heading3"/>
      </w:pPr>
      <w:r>
        <w:t xml:space="preserve">4.3 Professional Conduct and Reliability</w:t>
      </w:r>
    </w:p>
    <w:p>
      <w:pPr>
        <w:pStyle w:val="FirstParagraph"/>
      </w:pPr>
      <w:r>
        <w:t xml:space="preserve">Professionalism remains a critical focus of this</w:t>
      </w:r>
      <w:r>
        <w:t xml:space="preserve"> </w:t>
      </w:r>
      <w:r>
        <w:rPr>
          <w:bCs/>
          <w:b/>
        </w:rPr>
        <w:t xml:space="preserve">Peer Review Report</w:t>
      </w:r>
      <w:r>
        <w:t xml:space="preserve">. In the fast-paced environment of Kuala Lumpur, where events often run on tight schedules, punctuality and reliability are non-negotiable. Feedback suggests that while senior musicians maintain impeccable standards, there is a need for greater mentorship for emerging talent regarding stage etiquette, communication with producers, and contractual obligations. The review notes that musicians who demonstrate respect for local customs and religious sensitivities are consistently preferred by event organizers.</w:t>
      </w:r>
    </w:p>
    <w:bookmarkEnd w:id="27"/>
    <w:bookmarkEnd w:id="28"/>
    <w:bookmarkStart w:id="29" w:name="performance-scoring-matrix"/>
    <w:p>
      <w:pPr>
        <w:pStyle w:val="Heading2"/>
      </w:pPr>
      <w:r>
        <w:t xml:space="preserve">5. Performance Scoring Matrix</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Weight</w:t>
            </w:r>
          </w:p>
        </w:tc>
        <w:tc>
          <w:tcPr/>
          <w:p>
            <w:pPr>
              <w:pStyle w:val="Compact"/>
              <w:jc w:val="left"/>
            </w:pPr>
            <w:r>
              <w:t xml:space="preserve">Average Score (1-10)</w:t>
            </w:r>
          </w:p>
        </w:tc>
        <w:tc>
          <w:tcPr/>
          <w:p>
            <w:pPr>
              <w:pStyle w:val="Compact"/>
              <w:jc w:val="left"/>
            </w:pPr>
            <w:r>
              <w:t xml:space="preserve">Assessment</w:t>
            </w:r>
          </w:p>
        </w:tc>
      </w:tr>
      <w:tr>
        <w:tc>
          <w:tcPr/>
          <w:p>
            <w:pPr>
              <w:pStyle w:val="Compact"/>
              <w:jc w:val="left"/>
            </w:pPr>
            <w:r>
              <w:t xml:space="preserve">Technical Skill</w:t>
            </w:r>
          </w:p>
        </w:tc>
        <w:tc>
          <w:tcPr/>
          <w:p>
            <w:pPr>
              <w:pStyle w:val="Compact"/>
              <w:jc w:val="left"/>
            </w:pPr>
            <w:r>
              <w:t xml:space="preserve">30%</w:t>
            </w:r>
          </w:p>
        </w:tc>
        <w:tc>
          <w:tcPr/>
          <w:p>
            <w:pPr>
              <w:pStyle w:val="Compact"/>
              <w:jc w:val="left"/>
            </w:pPr>
            <w:r>
              <w:t xml:space="preserve">8.5</w:t>
            </w:r>
          </w:p>
        </w:tc>
        <w:tc>
          <w:tcPr/>
          <w:p>
            <w:pPr>
              <w:pStyle w:val="Compact"/>
              <w:jc w:val="left"/>
            </w:pPr>
            <w:r>
              <w:t xml:space="preserve">Strong foundation, high proficiency.</w:t>
            </w:r>
          </w:p>
        </w:tc>
      </w:tr>
      <w:tr>
        <w:tc>
          <w:tcPr/>
          <w:p>
            <w:pPr>
              <w:pStyle w:val="Compact"/>
              <w:jc w:val="left"/>
            </w:pPr>
            <w:r>
              <w:t xml:space="preserve">Cultural Versatility</w:t>
            </w:r>
          </w:p>
        </w:tc>
        <w:tc>
          <w:tcPr/>
          <w:p>
            <w:pPr>
              <w:pStyle w:val="Compact"/>
              <w:jc w:val="left"/>
            </w:pPr>
            <w:r>
              <w:t xml:space="preserve">25%</w:t>
            </w:r>
          </w:p>
        </w:tc>
        <w:tc>
          <w:tcPr/>
          <w:p>
            <w:pPr>
              <w:pStyle w:val="Compact"/>
              <w:jc w:val="left"/>
            </w:pPr>
            <w:r>
              <w:t xml:space="preserve">7.0</w:t>
            </w:r>
          </w:p>
        </w:tc>
        <w:tc>
          <w:tcPr/>
          <w:p>
            <w:pPr>
              <w:pStyle w:val="Compact"/>
              <w:jc w:val="left"/>
            </w:pPr>
            <w:r>
              <w:t xml:space="preserve">Good, but needs deeper fusion integration.</w:t>
            </w:r>
          </w:p>
        </w:tc>
      </w:tr>
      <w:tr>
        <w:tc>
          <w:tcPr/>
          <w:p>
            <w:pPr>
              <w:pStyle w:val="Compact"/>
              <w:jc w:val="left"/>
            </w:pPr>
            <w:r>
              <w:t xml:space="preserve">Professionalism</w:t>
            </w:r>
          </w:p>
        </w:tc>
        <w:tc>
          <w:tcPr/>
          <w:p>
            <w:pPr>
              <w:pStyle w:val="Compact"/>
              <w:jc w:val="left"/>
            </w:pPr>
            <w:r>
              <w:t xml:space="preserve">25%</w:t>
            </w:r>
          </w:p>
        </w:tc>
        <w:tc>
          <w:tcPr/>
          <w:p>
            <w:pPr>
              <w:pStyle w:val="Compact"/>
              <w:jc w:val="left"/>
            </w:pPr>
            <w:r>
              <w:t xml:space="preserve">8.0</w:t>
            </w:r>
          </w:p>
        </w:tc>
        <w:tc>
          <w:tcPr/>
          <w:p>
            <w:pPr>
              <w:pStyle w:val="Compact"/>
              <w:jc w:val="left"/>
            </w:pPr>
            <w:r>
              <w:t xml:space="preserve">Reliable, respectful of local norms.</w:t>
            </w:r>
          </w:p>
        </w:tc>
      </w:tr>
      <w:tr>
        <w:tc>
          <w:tcPr/>
          <w:p>
            <w:pPr>
              <w:pStyle w:val="Compact"/>
              <w:jc w:val="left"/>
            </w:pPr>
            <w:r>
              <w:t xml:space="preserve">Adaptability</w:t>
            </w:r>
          </w:p>
        </w:tc>
        <w:tc>
          <w:tcPr/>
          <w:p>
            <w:pPr>
              <w:pStyle w:val="Compact"/>
              <w:jc w:val="left"/>
            </w:pPr>
            <w:r>
              <w:t xml:space="preserve">20%</w:t>
            </w:r>
          </w:p>
        </w:tc>
        <w:tc>
          <w:tcPr/>
          <w:p>
            <w:pPr>
              <w:pStyle w:val="Compact"/>
              <w:jc w:val="left"/>
            </w:pPr>
            <w:r>
              <w:t xml:space="preserve">7.5</w:t>
            </w:r>
          </w:p>
        </w:tc>
        <w:tc>
          <w:tcPr/>
          <w:p>
            <w:pPr>
              <w:pStyle w:val="Compact"/>
              <w:jc w:val="left"/>
            </w:pPr>
            <w:r>
              <w:t xml:space="preserve">Effective in most venues, room for growth.</w:t>
            </w:r>
          </w:p>
        </w:tc>
      </w:tr>
    </w:tbl>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musicians operating in</w:t>
      </w:r>
      <w:r>
        <w:t xml:space="preserve"> </w:t>
      </w:r>
      <w:r>
        <w:rPr>
          <w:bCs/>
          <w:b/>
        </w:rPr>
        <w:t xml:space="preserve">Malaysia Kuala Lumpur</w:t>
      </w:r>
      <w:r>
        <w:t xml:space="preserve">:</w:t>
      </w:r>
    </w:p>
    <w:p>
      <w:pPr>
        <w:numPr>
          <w:ilvl w:val="0"/>
          <w:numId w:val="1002"/>
        </w:numPr>
        <w:pStyle w:val="Compact"/>
      </w:pPr>
      <w:r>
        <w:rPr>
          <w:bCs/>
          <w:b/>
        </w:rPr>
        <w:t xml:space="preserve">Expand Repertoire:</w:t>
      </w:r>
      <w:r>
        <w:t xml:space="preserve"> </w:t>
      </w:r>
      <w:r>
        <w:t xml:space="preserve">Musicians should actively study and incorporate traditional Malaysian musical forms into their performances to better connect with local audiences.</w:t>
      </w:r>
    </w:p>
    <w:p>
      <w:pPr>
        <w:numPr>
          <w:ilvl w:val="0"/>
          <w:numId w:val="1002"/>
        </w:numPr>
        <w:pStyle w:val="Compact"/>
      </w:pPr>
      <w:r>
        <w:rPr>
          <w:bCs/>
          <w:b/>
        </w:rPr>
        <w:t xml:space="preserve">Enhance Networking:</w:t>
      </w:r>
      <w:r>
        <w:t xml:space="preserve"> </w:t>
      </w:r>
      <w:r>
        <w:t xml:space="preserve">Building strong relationships with local event agencies and cultural organizations is essential for career sustainability in Kuala Lumpur.</w:t>
      </w:r>
    </w:p>
    <w:p>
      <w:pPr>
        <w:numPr>
          <w:ilvl w:val="0"/>
          <w:numId w:val="1002"/>
        </w:numPr>
        <w:pStyle w:val="Compact"/>
      </w:pPr>
      <w:r>
        <w:rPr>
          <w:bCs/>
          <w:b/>
        </w:rPr>
        <w:t xml:space="preserve">Focus on Soft Skills:</w:t>
      </w:r>
      <w:r>
        <w:t xml:space="preserve"> </w:t>
      </w:r>
      <w:r>
        <w:t xml:space="preserve">Improving communication skills in multiple languages (Malay, English, Mandarin) will significantly enhance professional opportunities.</w:t>
      </w:r>
    </w:p>
    <w:p>
      <w:pPr>
        <w:numPr>
          <w:ilvl w:val="0"/>
          <w:numId w:val="1002"/>
        </w:numPr>
        <w:pStyle w:val="Compact"/>
      </w:pPr>
      <w:r>
        <w:rPr>
          <w:bCs/>
          <w:b/>
        </w:rPr>
        <w:t xml:space="preserve">Continuous Learning:</w:t>
      </w:r>
      <w:r>
        <w:t xml:space="preserve"> </w:t>
      </w:r>
      <w:r>
        <w:t xml:space="preserve">Engaging in workshops and masterclasses focused on contemporary fusion music will help musicians stay relevant in the evolving Kuala Lumpur scene.</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Musician</w:t>
      </w:r>
      <w:r>
        <w:t xml:space="preserve"> </w:t>
      </w:r>
      <w:r>
        <w:t xml:space="preserve">community in</w:t>
      </w:r>
      <w:r>
        <w:t xml:space="preserve"> </w:t>
      </w:r>
      <w:r>
        <w:rPr>
          <w:bCs/>
          <w:b/>
        </w:rPr>
        <w:t xml:space="preserve">Malaysia Kuala Lumpur</w:t>
      </w:r>
      <w:r>
        <w:t xml:space="preserve"> </w:t>
      </w:r>
      <w:r>
        <w:t xml:space="preserve">is robust, talented, and culturally rich. While there are areas for improvement, particularly in cultural integration and professional development for younger artists, the overall standard is high. By embracing the unique multicultural identity of Kuala Lumpur and maintaining rigorous professional standards, musicians in this region can continue to thrive and contribute significantly to the nation's artistic heritage.</w:t>
      </w:r>
    </w:p>
    <w:p>
      <w:pPr>
        <w:pStyle w:val="BodyText"/>
      </w:pPr>
      <w:r>
        <w:t xml:space="preserve">© 2023 Kuala Lumpur Music Industry Association. All Rights Reserved.</w:t>
      </w:r>
    </w:p>
    <w:p>
      <w:pPr>
        <w:pStyle w:val="BodyText"/>
      </w:pPr>
      <w:r>
        <w:t xml:space="preserve">This document is confidential and intended for professional use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Standards in Malaysia Kuala Lumpur</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