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f877ed8b31680e585ad6b38ee487f0377f71fae"/>
    <w:p>
      <w:pPr>
        <w:pStyle w:val="Heading1"/>
      </w:pPr>
      <w:r>
        <w:t xml:space="preserve">Peer Review Report: Professional Musician Evaluation</w:t>
      </w:r>
    </w:p>
    <w:p>
      <w:pPr>
        <w:pStyle w:val="FirstParagraph"/>
      </w:pPr>
      <w:r>
        <w:rPr>
          <w:bCs/>
          <w:b/>
        </w:rPr>
        <w:t xml:space="preserve">Context:</w:t>
      </w:r>
      <w:r>
        <w:t xml:space="preserve"> </w:t>
      </w:r>
      <w:r>
        <w:t xml:space="preserve">Cultural Arts Assessment within the Saint Petersburg Music Community</w:t>
      </w:r>
    </w:p>
    <w:bookmarkEnd w:id="20"/>
    <w:p>
      <w:pPr>
        <w:pStyle w:val="BodyText"/>
      </w:pPr>
      <w:r>
        <w:rPr>
          <w:bCs/>
          <w:b/>
        </w:rPr>
        <w:t xml:space="preserve">Subject:</w:t>
      </w:r>
      <w:r>
        <w:t xml:space="preserve"> </w:t>
      </w:r>
      <w:r>
        <w:t xml:space="preserve">Professional Musician (Classical/Jazz Fusion)</w:t>
      </w:r>
    </w:p>
    <w:p>
      <w:pPr>
        <w:pStyle w:val="BodyText"/>
      </w:pPr>
      <w:r>
        <w:rPr>
          <w:bCs/>
          <w:b/>
        </w:rPr>
        <w:t xml:space="preserve">Location:</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Panel of Senior Musicians &amp; Critics</w:t>
      </w:r>
    </w:p>
    <w:p>
      <w:pPr>
        <w:pStyle w:val="BodyText"/>
      </w:pPr>
      <w:r>
        <w:rPr>
          <w:bCs/>
          <w:b/>
        </w:rPr>
        <w:t xml:space="preserve">Venue:</w:t>
      </w:r>
      <w:r>
        <w:t xml:space="preserve"> </w:t>
      </w:r>
      <w:r>
        <w:t xml:space="preserve">The Mikhailovsky Theatre &amp; Local Jazz Clubs</w:t>
      </w:r>
    </w:p>
    <w:p>
      <w:pPr>
        <w:pStyle w:val="BodyText"/>
      </w:pPr>
      <w:r>
        <w:rPr>
          <w:bCs/>
          <w:b/>
        </w:rPr>
        <w:t xml:space="preserve">Report ID:</w:t>
      </w:r>
      <w:r>
        <w:t xml:space="preserve"> </w:t>
      </w:r>
      <w:r>
        <w:t xml:space="preserve">SPB-MUS-2023-089</w:t>
      </w:r>
    </w:p>
    <w:bookmarkStart w:id="21" w:name="executive-summary"/>
    <w:p>
      <w:pPr>
        <w:pStyle w:val="Heading2"/>
      </w:pPr>
      <w:r>
        <w:t xml:space="preserve">1. Executive Summary</w:t>
      </w:r>
    </w:p>
    <w:p>
      <w:pPr>
        <w:pStyle w:val="FirstParagraph"/>
      </w:pPr>
      <w:r>
        <w:t xml:space="preserve">This Peer Review Report evaluates the professional competency, artistic integrity, and cultural contribution of a specific Musician operating within the vibrant cultural landscape of Russia Saint Petersburg. As one of the world's premier centers for classical music and a growing hub for contemporary jazz and electronic fusion, Saint Petersburg demands a high standard of excellence from its artists. This review assesses the subject's technical proficiency, stage presence, repertoire selection, and adherence to the rigorous traditions upheld by the city's historic conservatories.</w:t>
      </w:r>
    </w:p>
    <w:p>
      <w:pPr>
        <w:pStyle w:val="BodyText"/>
      </w:pPr>
      <w:r>
        <w:t xml:space="preserve">The evaluation is based on live performances observed over a three-month period, including solo recitals, ensemble collaborations, and educational workshops. The goal is to provide a comprehensive analysis that aligns with the expectations of local audiences, venue directors, and fellow artists in the region.</w:t>
      </w:r>
    </w:p>
    <w:bookmarkEnd w:id="21"/>
    <w:bookmarkStart w:id="24" w:name="Xe991b6be214e5467bc777770813a5242aa70120"/>
    <w:p>
      <w:pPr>
        <w:pStyle w:val="Heading2"/>
      </w:pPr>
      <w:r>
        <w:t xml:space="preserve">2. Technical Proficiency and Artistic Interpretation</w:t>
      </w:r>
    </w:p>
    <w:p>
      <w:pPr>
        <w:pStyle w:val="FirstParagraph"/>
      </w:pPr>
      <w:r>
        <w:t xml:space="preserve">The primary criterion for any Musician in Saint Petersburg is technical mastery. Given the city's rich history, home to legends like Rimsky-Korsakov and Stravinsky, the tolerance for technical error is exceptionally low.</w:t>
      </w:r>
    </w:p>
    <w:bookmarkStart w:id="22" w:name="instrumental-mastery"/>
    <w:p>
      <w:pPr>
        <w:pStyle w:val="Heading3"/>
      </w:pPr>
      <w:r>
        <w:t xml:space="preserve">2.1 Instrumental Mastery</w:t>
      </w:r>
    </w:p>
    <w:p>
      <w:pPr>
        <w:pStyle w:val="FirstParagraph"/>
      </w:pPr>
      <w:r>
        <w:t xml:space="preserve">The subject demonstrates a commanding control over their instrument. Intonation is precise, and dynamic range is utilized effectively to convey emotional depth. In performances of Russian Romantic repertoire, the Musician displayed a nuanced understanding of phrasing that resonates deeply with local audiences. The ability to navigate complex passages with clarity indicates years of disciplined practice, consistent with the training standards of the Rimsky-Korsakov Saint Petersburg Conservatory.</w:t>
      </w:r>
    </w:p>
    <w:bookmarkEnd w:id="22"/>
    <w:bookmarkStart w:id="23" w:name="interpretative-depth"/>
    <w:p>
      <w:pPr>
        <w:pStyle w:val="Heading3"/>
      </w:pPr>
      <w:r>
        <w:t xml:space="preserve">2.2 Interpretative Depth</w:t>
      </w:r>
    </w:p>
    <w:p>
      <w:pPr>
        <w:pStyle w:val="FirstParagraph"/>
      </w:pPr>
      <w:r>
        <w:t xml:space="preserve">Beyond technical skill, the Musician exhibits strong interpretative abilities. The review panel noted a particularly compelling performance of Tchaikovsky, where the emotional narrative was conveyed with authenticity. However, in contemporary pieces, the interpretation occasionally lacked the boldness expected in modern Saint Petersburg avant-garde circles. There is room for growth in exploring more experimental textures to appeal to the younger demographic in the city.</w:t>
      </w:r>
    </w:p>
    <w:bookmarkEnd w:id="23"/>
    <w:bookmarkEnd w:id="24"/>
    <w:bookmarkStart w:id="27" w:name="X9275a6e7e07a26eb4b540d1813841aade576a41"/>
    <w:p>
      <w:pPr>
        <w:pStyle w:val="Heading2"/>
      </w:pPr>
      <w:r>
        <w:t xml:space="preserve">3. Performance Context and Venue Adaptability</w:t>
      </w:r>
    </w:p>
    <w:p>
      <w:pPr>
        <w:pStyle w:val="FirstParagraph"/>
      </w:pPr>
      <w:r>
        <w:t xml:space="preserve">A successful Musician in Russia Saint Petersburg must be versatile, capable of transitioning between the grand acoustics of historic halls and the intimate, raw atmosphere of underground clubs.</w:t>
      </w:r>
    </w:p>
    <w:bookmarkStart w:id="25" w:name="formal-venues"/>
    <w:p>
      <w:pPr>
        <w:pStyle w:val="Heading3"/>
      </w:pPr>
      <w:r>
        <w:t xml:space="preserve">3.1 Formal Venues</w:t>
      </w:r>
    </w:p>
    <w:p>
      <w:pPr>
        <w:pStyle w:val="FirstParagraph"/>
      </w:pPr>
      <w:r>
        <w:t xml:space="preserve">In formal settings, such as the Mariinsky Theatre or the Philharmonia, the subject maintained a professional demeanor and appropriate stage etiquette. The projection of sound and visual presence were well-calibrated for large audiences. The Musician successfully engaged the crowd without breaking the solemnity required for classical programming.</w:t>
      </w:r>
    </w:p>
    <w:bookmarkEnd w:id="25"/>
    <w:bookmarkStart w:id="26" w:name="informal-and-jazz-settings"/>
    <w:p>
      <w:pPr>
        <w:pStyle w:val="Heading3"/>
      </w:pPr>
      <w:r>
        <w:t xml:space="preserve">3.2 Informal and Jazz Settings</w:t>
      </w:r>
    </w:p>
    <w:p>
      <w:pPr>
        <w:pStyle w:val="FirstParagraph"/>
      </w:pPr>
      <w:r>
        <w:t xml:space="preserve">In the jazz clubs of the Vasileostrovsky district, the Musician showed adaptability but struggled slightly with improvisational spontaneity. While the structured elements of the performance were solid, the interaction with fellow band members lacked the fluidity seen in top-tier local ensembles. To thrive in Saint Petersburg's competitive jazz scene, the subject must enhance their ability to listen and react in real-time during improvisation.</w:t>
      </w:r>
    </w:p>
    <w:bookmarkEnd w:id="26"/>
    <w:bookmarkEnd w:id="27"/>
    <w:bookmarkStart w:id="30" w:name="Xe0b2105519bda19f7c363aa50bc8a42e7435aa1"/>
    <w:p>
      <w:pPr>
        <w:pStyle w:val="Heading2"/>
      </w:pPr>
      <w:r>
        <w:t xml:space="preserve">4. Cultural Relevance and Community Engagement</w:t>
      </w:r>
    </w:p>
    <w:p>
      <w:pPr>
        <w:pStyle w:val="FirstParagraph"/>
      </w:pPr>
      <w:r>
        <w:t xml:space="preserve">Being a Musician in Saint Petersburg is not just about playing notes; it is about contributing to the city's cultural identity.</w:t>
      </w:r>
    </w:p>
    <w:bookmarkStart w:id="28" w:name="repertoire-selection"/>
    <w:p>
      <w:pPr>
        <w:pStyle w:val="Heading3"/>
      </w:pPr>
      <w:r>
        <w:t xml:space="preserve">4.1 Repertoire Selection</w:t>
      </w:r>
    </w:p>
    <w:p>
      <w:pPr>
        <w:pStyle w:val="FirstParagraph"/>
      </w:pPr>
      <w:r>
        <w:t xml:space="preserve">The subject's repertoire is heavily weighted towards the Russian classical canon, which is well-received. However, to maintain relevance, the Musician should incorporate more works by contemporary Russian composers and international fusion artists. This balance would appeal to both traditionalists and the cosmopolitan audience that defines modern Saint Petersburg.</w:t>
      </w:r>
    </w:p>
    <w:bookmarkEnd w:id="28"/>
    <w:bookmarkStart w:id="29" w:name="educational-contribution"/>
    <w:p>
      <w:pPr>
        <w:pStyle w:val="Heading3"/>
      </w:pPr>
      <w:r>
        <w:t xml:space="preserve">4.2 Educational Contribution</w:t>
      </w:r>
    </w:p>
    <w:p>
      <w:pPr>
        <w:pStyle w:val="FirstParagraph"/>
      </w:pPr>
      <w:r>
        <w:t xml:space="preserve">The review panel commends the Musician's involvement in local masterclasses. Sharing knowledge with aspiring musicians is highly valued in the Saint Petersburg community. The subject's teaching style is patient and technically rigorous, fostering the next generation of talent. This commitment to education significantly boosts their standing within the peer group.</w:t>
      </w:r>
    </w:p>
    <w:bookmarkEnd w:id="29"/>
    <w:bookmarkEnd w:id="30"/>
    <w:bookmarkStart w:id="31" w:name="quantitative-assessment"/>
    <w:p>
      <w:pPr>
        <w:pStyle w:val="Heading2"/>
      </w:pPr>
      <w:r>
        <w:t xml:space="preserve">5.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Technical Proficiency</w:t>
            </w:r>
          </w:p>
        </w:tc>
        <w:tc>
          <w:tcPr/>
          <w:p>
            <w:pPr>
              <w:pStyle w:val="Compact"/>
              <w:jc w:val="left"/>
            </w:pPr>
            <w:r>
              <w:t xml:space="preserve">9</w:t>
            </w:r>
          </w:p>
        </w:tc>
        <w:tc>
          <w:tcPr/>
          <w:p>
            <w:pPr>
              <w:pStyle w:val="Compact"/>
              <w:jc w:val="left"/>
            </w:pPr>
            <w:r>
              <w:t xml:space="preserve">Excellent</w:t>
            </w:r>
          </w:p>
        </w:tc>
      </w:tr>
      <w:tr>
        <w:tc>
          <w:tcPr/>
          <w:p>
            <w:pPr>
              <w:pStyle w:val="Compact"/>
              <w:jc w:val="left"/>
            </w:pPr>
            <w:r>
              <w:t xml:space="preserve">Artistic Interpretation</w:t>
            </w:r>
          </w:p>
        </w:tc>
        <w:tc>
          <w:tcPr/>
          <w:p>
            <w:pPr>
              <w:pStyle w:val="Compact"/>
              <w:jc w:val="left"/>
            </w:pPr>
            <w:r>
              <w:t xml:space="preserve">8</w:t>
            </w:r>
          </w:p>
        </w:tc>
        <w:tc>
          <w:tcPr/>
          <w:p>
            <w:pPr>
              <w:pStyle w:val="Compact"/>
              <w:jc w:val="left"/>
            </w:pPr>
            <w:r>
              <w:t xml:space="preserve">Very Good</w:t>
            </w:r>
          </w:p>
        </w:tc>
      </w:tr>
      <w:tr>
        <w:tc>
          <w:tcPr/>
          <w:p>
            <w:pPr>
              <w:pStyle w:val="Compact"/>
              <w:jc w:val="left"/>
            </w:pPr>
            <w:r>
              <w:t xml:space="preserve">Stage Presence</w:t>
            </w:r>
          </w:p>
        </w:tc>
        <w:tc>
          <w:tcPr/>
          <w:p>
            <w:pPr>
              <w:pStyle w:val="Compact"/>
              <w:jc w:val="left"/>
            </w:pPr>
            <w:r>
              <w:t xml:space="preserve">7</w:t>
            </w:r>
          </w:p>
        </w:tc>
        <w:tc>
          <w:tcPr/>
          <w:p>
            <w:pPr>
              <w:pStyle w:val="Compact"/>
              <w:jc w:val="left"/>
            </w:pPr>
            <w:r>
              <w:t xml:space="preserve">Good</w:t>
            </w:r>
          </w:p>
        </w:tc>
      </w:tr>
      <w:tr>
        <w:tc>
          <w:tcPr/>
          <w:p>
            <w:pPr>
              <w:pStyle w:val="Compact"/>
              <w:jc w:val="left"/>
            </w:pPr>
            <w:r>
              <w:t xml:space="preserve">Improvisation &amp; Adaptability</w:t>
            </w:r>
          </w:p>
        </w:tc>
        <w:tc>
          <w:tcPr/>
          <w:p>
            <w:pPr>
              <w:pStyle w:val="Compact"/>
              <w:jc w:val="left"/>
            </w:pPr>
            <w:r>
              <w:t xml:space="preserve">6</w:t>
            </w:r>
          </w:p>
        </w:tc>
        <w:tc>
          <w:tcPr/>
          <w:p>
            <w:pPr>
              <w:pStyle w:val="Compact"/>
              <w:jc w:val="left"/>
            </w:pPr>
            <w:r>
              <w:t xml:space="preserve">Satisfactory</w:t>
            </w:r>
          </w:p>
        </w:tc>
      </w:tr>
      <w:tr>
        <w:tc>
          <w:tcPr/>
          <w:p>
            <w:pPr>
              <w:pStyle w:val="Compact"/>
              <w:jc w:val="left"/>
            </w:pPr>
            <w:r>
              <w:t xml:space="preserve">Cultural Engagement</w:t>
            </w:r>
          </w:p>
        </w:tc>
        <w:tc>
          <w:tcPr/>
          <w:p>
            <w:pPr>
              <w:pStyle w:val="Compact"/>
              <w:jc w:val="left"/>
            </w:pPr>
            <w:r>
              <w:t xml:space="preserve">8</w:t>
            </w:r>
          </w:p>
        </w:tc>
        <w:tc>
          <w:tcPr/>
          <w:p>
            <w:pPr>
              <w:pStyle w:val="Compact"/>
              <w:jc w:val="left"/>
            </w:pPr>
            <w:r>
              <w:t xml:space="preserve">Very Good</w:t>
            </w:r>
          </w:p>
        </w:tc>
      </w:tr>
      <w:tr>
        <w:tc>
          <w:tcPr/>
          <w:p>
            <w:pPr>
              <w:pStyle w:val="Compact"/>
              <w:jc w:val="left"/>
            </w:pPr>
            <w:r>
              <w:t xml:space="preserve">Professionalism</w:t>
            </w:r>
          </w:p>
        </w:tc>
        <w:tc>
          <w:tcPr/>
          <w:p>
            <w:pPr>
              <w:pStyle w:val="Compact"/>
              <w:jc w:val="left"/>
            </w:pPr>
            <w:r>
              <w:t xml:space="preserve">9</w:t>
            </w:r>
          </w:p>
        </w:tc>
        <w:tc>
          <w:tcPr/>
          <w:p>
            <w:pPr>
              <w:pStyle w:val="Compact"/>
              <w:jc w:val="left"/>
            </w:pPr>
            <w:r>
              <w:t xml:space="preserve">Excellent</w:t>
            </w:r>
          </w:p>
        </w:tc>
      </w:tr>
    </w:tbl>
    <w:bookmarkEnd w:id="31"/>
    <w:bookmarkStart w:id="32" w:name="recommendations-and-conclusion"/>
    <w:p>
      <w:pPr>
        <w:pStyle w:val="Heading2"/>
      </w:pPr>
      <w:r>
        <w:t xml:space="preserve">6. Recommendations and Conclusion</w:t>
      </w:r>
    </w:p>
    <w:p>
      <w:pPr>
        <w:pStyle w:val="FirstParagraph"/>
      </w:pPr>
      <w:r>
        <w:t xml:space="preserve">In conclusion, the subject is a highly competent Musician who honors the prestigious musical heritage of Russia Saint Petersburg. Their technical skills are formidable, and their dedication to the craft is evident. However, to reach the pinnacle of the local industry, the following steps are recommended:</w:t>
      </w:r>
    </w:p>
    <w:p>
      <w:pPr>
        <w:numPr>
          <w:ilvl w:val="0"/>
          <w:numId w:val="1001"/>
        </w:numPr>
        <w:pStyle w:val="Compact"/>
      </w:pPr>
      <w:r>
        <w:rPr>
          <w:bCs/>
          <w:b/>
        </w:rPr>
        <w:t xml:space="preserve">Enhance Improvisational Skills:</w:t>
      </w:r>
      <w:r>
        <w:t xml:space="preserve"> </w:t>
      </w:r>
      <w:r>
        <w:t xml:space="preserve">Engage in more jam sessions with established jazz musicians in the city to improve spontaneity.</w:t>
      </w:r>
    </w:p>
    <w:p>
      <w:pPr>
        <w:numPr>
          <w:ilvl w:val="0"/>
          <w:numId w:val="1001"/>
        </w:numPr>
        <w:pStyle w:val="Compact"/>
      </w:pPr>
      <w:r>
        <w:rPr>
          <w:bCs/>
          <w:b/>
        </w:rPr>
        <w:t xml:space="preserve">Diversify Repertoire:</w:t>
      </w:r>
      <w:r>
        <w:t xml:space="preserve"> </w:t>
      </w:r>
      <w:r>
        <w:t xml:space="preserve">Include more contemporary and cross-genre works to attract a broader audience.</w:t>
      </w:r>
    </w:p>
    <w:p>
      <w:pPr>
        <w:numPr>
          <w:ilvl w:val="0"/>
          <w:numId w:val="1001"/>
        </w:numPr>
        <w:pStyle w:val="Compact"/>
      </w:pPr>
      <w:r>
        <w:rPr>
          <w:bCs/>
          <w:b/>
        </w:rPr>
        <w:t xml:space="preserve">Strengthen Networking:</w:t>
      </w:r>
      <w:r>
        <w:t xml:space="preserve"> </w:t>
      </w:r>
      <w:r>
        <w:t xml:space="preserve">Collaborate more frequently with local visual artists and theater groups, a common practice in Saint Petersburg's multidisciplinary art scene.</w:t>
      </w:r>
    </w:p>
    <w:p>
      <w:pPr>
        <w:pStyle w:val="FirstParagraph"/>
      </w:pPr>
      <w:r>
        <w:t xml:space="preserve">This Peer Review Report serves as a constructive guide for the Musician's continued development. With focused effort on the areas identified, the subject is well-positioned to become a leading figure in the Saint Petersburg music community.</w:t>
      </w:r>
    </w:p>
    <w:p>
      <w:pPr>
        <w:pStyle w:val="BodyText"/>
      </w:pPr>
      <w:r>
        <w:rPr>
          <w:bCs/>
          <w:b/>
        </w:rPr>
        <w:t xml:space="preserve">Disclaimer:</w:t>
      </w:r>
      <w:r>
        <w:t xml:space="preserve"> </w:t>
      </w:r>
      <w:r>
        <w:t xml:space="preserve">This document is a simulated Peer Review Report for educational and demonstrative purposes. It does not represent an official evaluation by any specific institution in Saint Petersburg, Russia.</w:t>
      </w:r>
    </w:p>
    <w:p>
      <w:pPr>
        <w:pStyle w:val="BodyText"/>
      </w:pPr>
      <w:r>
        <w:t xml:space="preserve">© 2023 Cultural Arts Assessment Panel.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Saint Petersburg, Russia</dc:title>
  <dc:creator/>
  <dc:language>en</dc:language>
  <cp:keywords/>
  <dcterms:created xsi:type="dcterms:W3CDTF">2026-10-10T13:53:40Z</dcterms:created>
  <dcterms:modified xsi:type="dcterms:W3CDTF">2026-10-10T13:53:40Z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