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&amp; Cultural Integration Assessment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Musician (Guest Artist)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conduct, artistic output, and cultural adaptability of a visiting</w:t>
      </w:r>
      <w:r>
        <w:t xml:space="preserve"> </w:t>
      </w:r>
      <w:r>
        <w:rPr>
          <w:bCs/>
          <w:b/>
        </w:rPr>
        <w:t xml:space="preserve">Musician</w:t>
      </w:r>
      <w:r>
        <w:t xml:space="preserve"> </w:t>
      </w:r>
      <w:r>
        <w:t xml:space="preserve">performing within the vibrant cultural landscape of</w:t>
      </w:r>
      <w:r>
        <w:t xml:space="preserve"> </w:t>
      </w:r>
      <w:r>
        <w:rPr>
          <w:bCs/>
          <w:b/>
        </w:rPr>
        <w:t xml:space="preserve">Uzbekistan Tashkent</w:t>
      </w:r>
      <w:r>
        <w:t xml:space="preserve">. The review process involved a panel of local musicologists, event organizers, and fellow artists based in the capital city. The primary objective was to assess how effectively the artist integrated their unique style with the rich musical heritage of the region, ranging from traditional</w:t>
      </w:r>
      <w:r>
        <w:t xml:space="preserve"> </w:t>
      </w:r>
      <w:r>
        <w:rPr>
          <w:iCs/>
          <w:i/>
        </w:rPr>
        <w:t xml:space="preserve">Shashmaqom</w:t>
      </w:r>
      <w:r>
        <w:t xml:space="preserve"> </w:t>
      </w:r>
      <w:r>
        <w:t xml:space="preserve">to contemporary urban sounds.</w:t>
      </w:r>
    </w:p>
    <w:p>
      <w:pPr>
        <w:pStyle w:val="BodyText"/>
      </w:pPr>
      <w:r>
        <w:t xml:space="preserve">The evaluation covers a period of three weeks during which the</w:t>
      </w:r>
      <w:r>
        <w:t xml:space="preserve"> </w:t>
      </w:r>
      <w:r>
        <w:rPr>
          <w:bCs/>
          <w:b/>
        </w:rPr>
        <w:t xml:space="preserve">Musician</w:t>
      </w:r>
      <w:r>
        <w:t xml:space="preserve"> </w:t>
      </w:r>
      <w:r>
        <w:t xml:space="preserve">participated in various workshops, public concerts, and collaborative sessions. The findings indicate a high level of technical proficiency and a commendable effort to engage with the local audience, though specific areas regarding cultural nuance and logistical coordination require attention.</w:t>
      </w:r>
    </w:p>
    <w:bookmarkEnd w:id="21"/>
    <w:bookmarkStart w:id="22" w:name="context-and-scope"/>
    <w:p>
      <w:pPr>
        <w:pStyle w:val="Heading2"/>
      </w:pPr>
      <w:r>
        <w:t xml:space="preserve">2. Context and Scope</w:t>
      </w:r>
    </w:p>
    <w:p>
      <w:pPr>
        <w:pStyle w:val="FirstParagraph"/>
      </w:pPr>
      <w:r>
        <w:rPr>
          <w:bCs/>
          <w:b/>
        </w:rPr>
        <w:t xml:space="preserve">Uzbekistan Tashkent</w:t>
      </w:r>
      <w:r>
        <w:t xml:space="preserve"> </w:t>
      </w:r>
      <w:r>
        <w:t xml:space="preserve">serves as the cultural heart of Central Asia, hosting a diverse array of musical events. For a</w:t>
      </w:r>
      <w:r>
        <w:t xml:space="preserve"> </w:t>
      </w:r>
      <w:r>
        <w:rPr>
          <w:bCs/>
          <w:b/>
        </w:rPr>
        <w:t xml:space="preserve">Musician</w:t>
      </w:r>
      <w:r>
        <w:t xml:space="preserve"> </w:t>
      </w:r>
      <w:r>
        <w:t xml:space="preserve">operating in this environment, success is defined not only by technical skill but also by the ability to resonate with a local audience that values both tradition and innovation. This</w:t>
      </w:r>
      <w:r>
        <w:t xml:space="preserve"> </w:t>
      </w:r>
      <w:r>
        <w:rPr>
          <w:bCs/>
          <w:b/>
        </w:rPr>
        <w:t xml:space="preserve">Peer Review Report</w:t>
      </w:r>
      <w:r>
        <w:t xml:space="preserve"> </w:t>
      </w:r>
      <w:r>
        <w:t xml:space="preserve">focuses on three core pillars:</w:t>
      </w:r>
    </w:p>
    <w:p>
      <w:pPr>
        <w:numPr>
          <w:ilvl w:val="0"/>
          <w:numId w:val="1001"/>
        </w:numPr>
        <w:pStyle w:val="Compact"/>
      </w:pPr>
      <w:r>
        <w:rPr>
          <w:bCs/>
          <w:b/>
        </w:rPr>
        <w:t xml:space="preserve">Artistic Excellence:</w:t>
      </w:r>
      <w:r>
        <w:t xml:space="preserve"> </w:t>
      </w:r>
      <w:r>
        <w:t xml:space="preserve">Technical mastery and stage presence.</w:t>
      </w:r>
    </w:p>
    <w:p>
      <w:pPr>
        <w:numPr>
          <w:ilvl w:val="0"/>
          <w:numId w:val="1001"/>
        </w:numPr>
        <w:pStyle w:val="Compact"/>
      </w:pPr>
      <w:r>
        <w:rPr>
          <w:bCs/>
          <w:b/>
        </w:rPr>
        <w:t xml:space="preserve">Cultural Sensitivity:</w:t>
      </w:r>
      <w:r>
        <w:t xml:space="preserve"> </w:t>
      </w:r>
      <w:r>
        <w:t xml:space="preserve">Respect for local customs and musical traditions.</w:t>
      </w:r>
    </w:p>
    <w:p>
      <w:pPr>
        <w:numPr>
          <w:ilvl w:val="0"/>
          <w:numId w:val="1001"/>
        </w:numPr>
        <w:pStyle w:val="Compact"/>
      </w:pPr>
      <w:r>
        <w:rPr>
          <w:bCs/>
          <w:b/>
        </w:rPr>
        <w:t xml:space="preserve">Professionalism:</w:t>
      </w:r>
      <w:r>
        <w:t xml:space="preserve"> </w:t>
      </w:r>
      <w:r>
        <w:t xml:space="preserve">Reliability, collaboration, and communication.</w:t>
      </w:r>
    </w:p>
    <w:bookmarkEnd w:id="22"/>
    <w:bookmarkStart w:id="26" w:name="detailed-evaluation"/>
    <w:p>
      <w:pPr>
        <w:pStyle w:val="Heading2"/>
      </w:pPr>
      <w:r>
        <w:t xml:space="preserve">3. Detailed Evaluation</w:t>
      </w:r>
    </w:p>
    <w:bookmarkStart w:id="23" w:name="artistic-performance-and-technical-skill"/>
    <w:p>
      <w:pPr>
        <w:pStyle w:val="Heading3"/>
      </w:pPr>
      <w:r>
        <w:t xml:space="preserve">3.1 Artistic Performance and Technical Skill</w:t>
      </w:r>
    </w:p>
    <w:p>
      <w:pPr>
        <w:pStyle w:val="FirstParagraph"/>
      </w:pPr>
      <w:r>
        <w:t xml:space="preserve">The</w:t>
      </w:r>
      <w:r>
        <w:t xml:space="preserve"> </w:t>
      </w:r>
      <w:r>
        <w:rPr>
          <w:bCs/>
          <w:b/>
        </w:rPr>
        <w:t xml:space="preserve">Musician</w:t>
      </w:r>
      <w:r>
        <w:t xml:space="preserve"> </w:t>
      </w:r>
      <w:r>
        <w:t xml:space="preserve">demonstrated exceptional technical ability throughout their tenure in</w:t>
      </w:r>
      <w:r>
        <w:t xml:space="preserve"> </w:t>
      </w:r>
      <w:r>
        <w:rPr>
          <w:bCs/>
          <w:b/>
        </w:rPr>
        <w:t xml:space="preserve">Uzbekistan Tashkent</w:t>
      </w:r>
      <w:r>
        <w:t xml:space="preserve">. Their command of instrumentation was precise, and their ability to improvise during live performances was noted as a significant strength. During the concert at the Tashkent State Academic Opera and Ballet Theatre, the artist successfully blended Western harmonic structures with Eastern melodic motifs, creating a soundscape that was both familiar and novel to the local audience.</w:t>
      </w:r>
    </w:p>
    <w:p>
      <w:pPr>
        <w:pStyle w:val="BodyText"/>
      </w:pPr>
      <w:r>
        <w:t xml:space="preserve">However, the review panel noted that while the technical execution was flawless, the emotional depth of certain traditional pieces could be enhanced. A deeper understanding of the microtonal nuances specific to Uzbek music would elevate the performance from "competent" to "authentic."</w:t>
      </w:r>
    </w:p>
    <w:bookmarkEnd w:id="23"/>
    <w:bookmarkStart w:id="24" w:name="cultural-integration-and-adaptability"/>
    <w:p>
      <w:pPr>
        <w:pStyle w:val="Heading3"/>
      </w:pPr>
      <w:r>
        <w:t xml:space="preserve">3.2 Cultural Integration and Adaptability</w:t>
      </w:r>
    </w:p>
    <w:p>
      <w:pPr>
        <w:pStyle w:val="FirstParagraph"/>
      </w:pPr>
      <w:r>
        <w:t xml:space="preserve">Operating in</w:t>
      </w:r>
      <w:r>
        <w:t xml:space="preserve"> </w:t>
      </w:r>
      <w:r>
        <w:rPr>
          <w:bCs/>
          <w:b/>
        </w:rPr>
        <w:t xml:space="preserve">Uzbekistan Tashkent</w:t>
      </w:r>
      <w:r>
        <w:t xml:space="preserve"> </w:t>
      </w:r>
      <w:r>
        <w:t xml:space="preserve">requires a high degree of cultural intelligence. The</w:t>
      </w:r>
      <w:r>
        <w:t xml:space="preserve"> </w:t>
      </w:r>
      <w:r>
        <w:rPr>
          <w:bCs/>
          <w:b/>
        </w:rPr>
        <w:t xml:space="preserve">Musician</w:t>
      </w:r>
      <w:r>
        <w:t xml:space="preserve"> </w:t>
      </w:r>
      <w:r>
        <w:t xml:space="preserve">was praised for their respectful demeanor and willingness to learn from local masters. Participation in the</w:t>
      </w:r>
      <w:r>
        <w:t xml:space="preserve"> </w:t>
      </w:r>
      <w:r>
        <w:rPr>
          <w:iCs/>
          <w:i/>
        </w:rPr>
        <w:t xml:space="preserve">Maqom</w:t>
      </w:r>
      <w:r>
        <w:t xml:space="preserve"> </w:t>
      </w:r>
      <w:r>
        <w:t xml:space="preserve">workshops showed a genuine interest in the region's heritage. The artist made a concerted effort to learn basic Uzbek phrases, which was warmly received by the audience and peers alike.</w:t>
      </w:r>
    </w:p>
    <w:p>
      <w:pPr>
        <w:pStyle w:val="BodyText"/>
      </w:pPr>
      <w:r>
        <w:t xml:space="preserve">Nevertheless, there were minor instances where the</w:t>
      </w:r>
      <w:r>
        <w:t xml:space="preserve"> </w:t>
      </w:r>
      <w:r>
        <w:rPr>
          <w:bCs/>
          <w:b/>
        </w:rPr>
        <w:t xml:space="preserve">Musician</w:t>
      </w:r>
      <w:r>
        <w:t xml:space="preserve"> </w:t>
      </w:r>
      <w:r>
        <w:t xml:space="preserve">misunderstood local social cues regarding performance timing and audience interaction. In Uzbek culture, the relationship between the performer and the audience is deeply communal; a more relaxed, interactive approach during the interludes would have fostered a stronger connection.</w:t>
      </w:r>
    </w:p>
    <w:bookmarkEnd w:id="24"/>
    <w:bookmarkStart w:id="25" w:name="professional-conduct-and-collaboration"/>
    <w:p>
      <w:pPr>
        <w:pStyle w:val="Heading3"/>
      </w:pPr>
      <w:r>
        <w:t xml:space="preserve">3.3 Professional Conduct and Collaboration</w:t>
      </w:r>
    </w:p>
    <w:p>
      <w:pPr>
        <w:pStyle w:val="FirstParagraph"/>
      </w:pPr>
      <w:r>
        <w:t xml:space="preserve">From a logistical standpoint, the</w:t>
      </w:r>
      <w:r>
        <w:t xml:space="preserve"> </w:t>
      </w:r>
      <w:r>
        <w:rPr>
          <w:bCs/>
          <w:b/>
        </w:rPr>
        <w:t xml:space="preserve">Musician</w:t>
      </w:r>
      <w:r>
        <w:t xml:space="preserve"> </w:t>
      </w:r>
      <w:r>
        <w:t xml:space="preserve">maintained a professional schedule, arriving on time for rehearsals and meetings. Collaboration with local bands in Tashkent was generally smooth. The artist showed flexibility when equipment issues arose, a common challenge in touring scenarios.</w:t>
      </w:r>
    </w:p>
    <w:p>
      <w:pPr>
        <w:pStyle w:val="BodyText"/>
      </w:pPr>
      <w:r>
        <w:t xml:space="preserve">The</w:t>
      </w:r>
      <w:r>
        <w:t xml:space="preserve"> </w:t>
      </w:r>
      <w:r>
        <w:rPr>
          <w:bCs/>
          <w:b/>
        </w:rPr>
        <w:t xml:space="preserve">Peer Review Report</w:t>
      </w:r>
      <w:r>
        <w:t xml:space="preserve"> </w:t>
      </w:r>
      <w:r>
        <w:t xml:space="preserve">highlights that communication could be improved. While English is widely spoken in professional circles in Tashkent, utilizing a translator for complex artistic discussions with older, traditional musicians would ensure that no artistic intent is lost in translation.</w:t>
      </w:r>
    </w:p>
    <w:bookmarkEnd w:id="25"/>
    <w:bookmarkEnd w:id="26"/>
    <w:bookmarkStart w:id="27" w:name="recommendations"/>
    <w:p>
      <w:pPr>
        <w:pStyle w:val="Heading2"/>
      </w:pPr>
      <w:r>
        <w:t xml:space="preserve">4. Recommendations</w:t>
      </w:r>
    </w:p>
    <w:p>
      <w:pPr>
        <w:pStyle w:val="FirstParagraph"/>
      </w:pPr>
      <w:r>
        <w:t xml:space="preserve">Based on the observations made during this review, the following recommendations are proposed for the</w:t>
      </w:r>
      <w:r>
        <w:t xml:space="preserve"> </w:t>
      </w:r>
      <w:r>
        <w:rPr>
          <w:bCs/>
          <w:b/>
        </w:rPr>
        <w:t xml:space="preserve">Musician</w:t>
      </w:r>
      <w:r>
        <w:t xml:space="preserve"> </w:t>
      </w:r>
      <w:r>
        <w:t xml:space="preserve">to enhance future engagements in</w:t>
      </w:r>
      <w:r>
        <w:t xml:space="preserve"> </w:t>
      </w:r>
      <w:r>
        <w:rPr>
          <w:bCs/>
          <w:b/>
        </w:rPr>
        <w:t xml:space="preserve">Uzbekistan Tashkent</w:t>
      </w:r>
      <w:r>
        <w:t xml:space="preserve">:</w:t>
      </w:r>
    </w:p>
    <w:p>
      <w:pPr>
        <w:numPr>
          <w:ilvl w:val="0"/>
          <w:numId w:val="1002"/>
        </w:numPr>
        <w:pStyle w:val="Compact"/>
      </w:pPr>
      <w:r>
        <w:rPr>
          <w:bCs/>
          <w:b/>
        </w:rPr>
        <w:t xml:space="preserve">Deepen Musical Research:</w:t>
      </w:r>
      <w:r>
        <w:t xml:space="preserve"> </w:t>
      </w:r>
      <w:r>
        <w:t xml:space="preserve">Invest time in studying the specific scales and rhythms of Uzbek folk music to better align improvisations with local expectations.</w:t>
      </w:r>
    </w:p>
    <w:p>
      <w:pPr>
        <w:numPr>
          <w:ilvl w:val="0"/>
          <w:numId w:val="1002"/>
        </w:numPr>
        <w:pStyle w:val="Compact"/>
      </w:pPr>
      <w:r>
        <w:rPr>
          <w:bCs/>
          <w:b/>
        </w:rPr>
        <w:t xml:space="preserve">Enhance Audience Engagement:</w:t>
      </w:r>
      <w:r>
        <w:t xml:space="preserve"> </w:t>
      </w:r>
      <w:r>
        <w:t xml:space="preserve">Adopt a more interactive performance style that encourages audience participation, which is highly valued in Tashkent's concert culture.</w:t>
      </w:r>
    </w:p>
    <w:p>
      <w:pPr>
        <w:numPr>
          <w:ilvl w:val="0"/>
          <w:numId w:val="1002"/>
        </w:numPr>
        <w:pStyle w:val="Compact"/>
      </w:pPr>
      <w:r>
        <w:rPr>
          <w:bCs/>
          <w:b/>
        </w:rPr>
        <w:t xml:space="preserve">Logistical Planning:</w:t>
      </w:r>
      <w:r>
        <w:t xml:space="preserve"> </w:t>
      </w:r>
      <w:r>
        <w:t xml:space="preserve">Ensure all technical riders are communicated clearly in both English and Russian/Uzbek to avoid misunderstandings with local venue staff.</w:t>
      </w:r>
    </w:p>
    <w:bookmarkEnd w:id="27"/>
    <w:bookmarkStart w:id="28" w:name="conclusion-and-final-rating"/>
    <w:p>
      <w:pPr>
        <w:pStyle w:val="Heading2"/>
      </w:pPr>
      <w:r>
        <w:t xml:space="preserve">5.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Musician</w:t>
      </w:r>
      <w:r>
        <w:t xml:space="preserve"> </w:t>
      </w:r>
      <w:r>
        <w:t xml:space="preserve">is a talented and dedicated professional who has made a positive impact during their time in</w:t>
      </w:r>
      <w:r>
        <w:t xml:space="preserve"> </w:t>
      </w:r>
      <w:r>
        <w:rPr>
          <w:bCs/>
          <w:b/>
        </w:rPr>
        <w:t xml:space="preserve">Uzbekistan Tashkent</w:t>
      </w:r>
      <w:r>
        <w:t xml:space="preserve">. The artist's ability to bridge cultural gaps through music is evident, and with minor adjustments to their cultural approach and communication strategies, they are well-positioned for long-term success in the Central Asian market.</w:t>
      </w:r>
    </w:p>
    <w:p>
      <w:pPr>
        <w:pStyle w:val="BodyText"/>
      </w:pPr>
      <w:r>
        <w:rPr>
          <w:bCs/>
          <w:b/>
        </w:rPr>
        <w:t xml:space="preserve">Overall Rating: 4.2 / 5.0</w:t>
      </w:r>
      <w:r>
        <w:br/>
      </w:r>
      <w:r>
        <w:t xml:space="preserve">Status: Highly Recommended for Future Collaborations</w:t>
      </w:r>
    </w:p>
    <w:bookmarkEnd w:id="28"/>
    <w:p>
      <w:pPr>
        <w:pStyle w:val="BodyText"/>
      </w:pPr>
      <w:r>
        <w:rPr>
          <w:bCs/>
          <w:b/>
        </w:rPr>
        <w:t xml:space="preserve">Lead Reviewer</w:t>
      </w:r>
      <w:r>
        <w:br/>
      </w:r>
      <w:r>
        <w:t xml:space="preserve">Tashkent Music Council</w:t>
      </w:r>
    </w:p>
    <w:p>
      <w:pPr>
        <w:pStyle w:val="BodyText"/>
      </w:pPr>
      <w:r>
        <w:rPr>
          <w:bCs/>
          <w:b/>
        </w:rPr>
        <w:t xml:space="preserve">Event Coordinator</w:t>
      </w:r>
      <w:r>
        <w:br/>
      </w:r>
      <w:r>
        <w:t xml:space="preserve">Tashkent Arts Center</w:t>
      </w:r>
    </w:p>
    <w:p>
      <w:pPr>
        <w:pStyle w:val="BodyText"/>
      </w:pPr>
      <w:r>
        <w:t xml:space="preserve">© 2023 Tashkent Arts Evaluation Board. All rights reserved. This document is confidential and intended for the use of the reviewed Musician and associated management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