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an Occupational Therapist</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clinical performance, ethical adherence, and professional development of a practicing</w:t>
      </w:r>
      <w:r>
        <w:t xml:space="preserve"> </w:t>
      </w:r>
      <w:r>
        <w:rPr>
          <w:bCs/>
          <w:b/>
        </w:rPr>
        <w:t xml:space="preserve">Occupational Therapist</w:t>
      </w:r>
      <w:r>
        <w:t xml:space="preserve"> </w:t>
      </w:r>
      <w:r>
        <w:t xml:space="preserve">within the healthcare infrastructure of</w:t>
      </w:r>
      <w:r>
        <w:t xml:space="preserve"> </w:t>
      </w:r>
      <w:r>
        <w:rPr>
          <w:bCs/>
          <w:b/>
        </w:rPr>
        <w:t xml:space="preserve">Bangladesh Dhaka</w:t>
      </w:r>
      <w:r>
        <w:t xml:space="preserve">. The review was conducted to ensure alignment with national health standards, international best practices in rehabilitation, and the specific cultural and socioeconomic needs of patients in Dhaka. The assessment covers clinical documentation, patient-centered care, environmental adaptation, and interdisciplinary collaboration.</w:t>
      </w:r>
    </w:p>
    <w:bookmarkEnd w:id="21"/>
    <w:bookmarkStart w:id="22" w:name="introduction-and-context"/>
    <w:p>
      <w:pPr>
        <w:pStyle w:val="Heading2"/>
      </w:pPr>
      <w:r>
        <w:t xml:space="preserve">2. Introduction and Context</w:t>
      </w:r>
    </w:p>
    <w:p>
      <w:pPr>
        <w:pStyle w:val="FirstParagraph"/>
      </w:pPr>
      <w:r>
        <w:t xml:space="preserve">The role of the</w:t>
      </w:r>
      <w:r>
        <w:t xml:space="preserve"> </w:t>
      </w:r>
      <w:r>
        <w:rPr>
          <w:bCs/>
          <w:b/>
        </w:rPr>
        <w:t xml:space="preserve">Occupational Therapist</w:t>
      </w:r>
      <w:r>
        <w:t xml:space="preserve"> </w:t>
      </w:r>
      <w:r>
        <w:t xml:space="preserve">in</w:t>
      </w:r>
      <w:r>
        <w:t xml:space="preserve"> </w:t>
      </w:r>
      <w:r>
        <w:rPr>
          <w:bCs/>
          <w:b/>
        </w:rPr>
        <w:t xml:space="preserve">Bangladesh Dhaka</w:t>
      </w:r>
      <w:r>
        <w:t xml:space="preserve"> </w:t>
      </w:r>
      <w:r>
        <w:t xml:space="preserve">is increasingly vital due to the rising prevalence of neurological disorders, musculoskeletal conditions, and developmental disabilities. As the capital city experiences rapid urbanization, the demand for specialized rehabilitation services has surged. This</w:t>
      </w:r>
      <w:r>
        <w:t xml:space="preserve"> </w:t>
      </w:r>
      <w:r>
        <w:rPr>
          <w:bCs/>
          <w:b/>
        </w:rPr>
        <w:t xml:space="preserve">Peer Review Report</w:t>
      </w:r>
      <w:r>
        <w:t xml:space="preserve"> </w:t>
      </w:r>
      <w:r>
        <w:t xml:space="preserve">aims to assess how effectively the therapist navigates the unique challenges of providing care in Dhaka, including resource limitations, high patient volume, and diverse cultural expectations.</w:t>
      </w:r>
    </w:p>
    <w:p>
      <w:pPr>
        <w:pStyle w:val="BodyText"/>
      </w:pPr>
      <w:r>
        <w:t xml:space="preserve">The review focuses on the therapist’s ability to enable patients to participate in meaningful daily activities despite physical, cognitive, or psychosocial barriers. It also examines the integration of local resources and community-based rehabilitation strategies specific to the Dhaka metropolitan area.</w:t>
      </w:r>
    </w:p>
    <w:bookmarkEnd w:id="22"/>
    <w:bookmarkStart w:id="23" w:name="clinical-competency-and-assessment"/>
    <w:p>
      <w:pPr>
        <w:pStyle w:val="Heading2"/>
      </w:pPr>
      <w:r>
        <w:t xml:space="preserve">3. Clinical Competency and Assessment</w:t>
      </w:r>
    </w:p>
    <w:p>
      <w:pPr>
        <w:pStyle w:val="FirstParagraph"/>
      </w:pPr>
      <w:r>
        <w:t xml:space="preserve">The</w:t>
      </w:r>
      <w:r>
        <w:t xml:space="preserve"> </w:t>
      </w:r>
      <w:r>
        <w:rPr>
          <w:bCs/>
          <w:b/>
        </w:rPr>
        <w:t xml:space="preserve">Occupational Therapist</w:t>
      </w:r>
      <w:r>
        <w:t xml:space="preserve"> </w:t>
      </w:r>
      <w:r>
        <w:t xml:space="preserve">demonstrated a strong foundation in clinical assessment techniques. The review observed the use of standardized tools adapted for the Bangladeshi context. Key areas of evaluation included:</w:t>
      </w:r>
    </w:p>
    <w:p>
      <w:pPr>
        <w:numPr>
          <w:ilvl w:val="0"/>
          <w:numId w:val="1001"/>
        </w:numPr>
        <w:pStyle w:val="Compact"/>
      </w:pPr>
      <w:r>
        <w:rPr>
          <w:bCs/>
          <w:b/>
        </w:rPr>
        <w:t xml:space="preserve">Comprehensive Evaluation:</w:t>
      </w:r>
      <w:r>
        <w:t xml:space="preserve"> </w:t>
      </w:r>
      <w:r>
        <w:t xml:space="preserve">The therapist conducted thorough assessments of patients’ functional abilities, considering their home environments in Dhaka, which often involve multi-generational living and limited space.</w:t>
      </w:r>
    </w:p>
    <w:p>
      <w:pPr>
        <w:numPr>
          <w:ilvl w:val="0"/>
          <w:numId w:val="1001"/>
        </w:numPr>
        <w:pStyle w:val="Compact"/>
      </w:pPr>
      <w:r>
        <w:rPr>
          <w:bCs/>
          <w:b/>
        </w:rPr>
        <w:t xml:space="preserve">Cultural Sensitivity:</w:t>
      </w:r>
      <w:r>
        <w:t xml:space="preserve"> </w:t>
      </w:r>
      <w:r>
        <w:t xml:space="preserve">Interventions were tailored to respect local customs and family dynamics, ensuring that treatment plans were acceptable and sustainable for patients in Bangladesh.</w:t>
      </w:r>
    </w:p>
    <w:p>
      <w:pPr>
        <w:numPr>
          <w:ilvl w:val="0"/>
          <w:numId w:val="1001"/>
        </w:numPr>
        <w:pStyle w:val="Compact"/>
      </w:pPr>
      <w:r>
        <w:rPr>
          <w:bCs/>
          <w:b/>
        </w:rPr>
        <w:t xml:space="preserve">Goal Setting:</w:t>
      </w:r>
      <w:r>
        <w:t xml:space="preserve"> </w:t>
      </w:r>
      <w:r>
        <w:t xml:space="preserve">Goals were collaborative, realistic, and focused on improving independence in activities of daily living (ADLs), such as dressing, eating, and mobility within the urban setting of Dhaka.</w:t>
      </w:r>
    </w:p>
    <w:p>
      <w:pPr>
        <w:pStyle w:val="FirstParagraph"/>
      </w:pPr>
      <w:r>
        <w:t xml:space="preserve">The therapist’s ability to identify barriers to participation in the local context was commendable. However, the</w:t>
      </w:r>
      <w:r>
        <w:t xml:space="preserve"> </w:t>
      </w:r>
      <w:r>
        <w:rPr>
          <w:bCs/>
          <w:b/>
        </w:rPr>
        <w:t xml:space="preserve">Peer Review Report</w:t>
      </w:r>
      <w:r>
        <w:t xml:space="preserve"> </w:t>
      </w:r>
      <w:r>
        <w:t xml:space="preserve">recommends further documentation of outcome measures to track long-term patient progress.</w:t>
      </w:r>
    </w:p>
    <w:bookmarkEnd w:id="23"/>
    <w:bookmarkStart w:id="24" w:name="X38e64741299213a35150872a4edf6218e1b1a80"/>
    <w:p>
      <w:pPr>
        <w:pStyle w:val="Heading2"/>
      </w:pPr>
      <w:r>
        <w:t xml:space="preserve">4. Intervention Strategies and Resourcefulness</w:t>
      </w:r>
    </w:p>
    <w:p>
      <w:pPr>
        <w:pStyle w:val="FirstParagraph"/>
      </w:pPr>
      <w:r>
        <w:t xml:space="preserve">In</w:t>
      </w:r>
      <w:r>
        <w:t xml:space="preserve"> </w:t>
      </w:r>
      <w:r>
        <w:rPr>
          <w:bCs/>
          <w:b/>
        </w:rPr>
        <w:t xml:space="preserve">Bangladesh Dhaka</w:t>
      </w:r>
      <w:r>
        <w:t xml:space="preserve">, access to high-tech rehabilitation equipment can be limited. The</w:t>
      </w:r>
      <w:r>
        <w:t xml:space="preserve"> </w:t>
      </w:r>
      <w:r>
        <w:rPr>
          <w:bCs/>
          <w:b/>
        </w:rPr>
        <w:t xml:space="preserve">Occupational Therapist</w:t>
      </w:r>
      <w:r>
        <w:t xml:space="preserve"> </w:t>
      </w:r>
      <w:r>
        <w:t xml:space="preserve">exhibited exceptional resourcefulness by utilizing low-cost, locally available materials to create adaptive devices and therapeutic tools. This approach not only made therapy more accessible but also empowered patients and families to continue interventions at home.</w:t>
      </w:r>
    </w:p>
    <w:p>
      <w:pPr>
        <w:pStyle w:val="BodyText"/>
      </w:pPr>
      <w:r>
        <w:t xml:space="preserve">Interventions included:</w:t>
      </w:r>
    </w:p>
    <w:p>
      <w:pPr>
        <w:numPr>
          <w:ilvl w:val="0"/>
          <w:numId w:val="1002"/>
        </w:numPr>
        <w:pStyle w:val="Compact"/>
      </w:pPr>
      <w:r>
        <w:t xml:space="preserve">Home modifications advice suitable for typical Dhaka apartment layouts.</w:t>
      </w:r>
    </w:p>
    <w:p>
      <w:pPr>
        <w:numPr>
          <w:ilvl w:val="0"/>
          <w:numId w:val="1002"/>
        </w:numPr>
        <w:pStyle w:val="Compact"/>
      </w:pPr>
      <w:r>
        <w:t xml:space="preserve">Use of traditional crafts and games to enhance fine motor skills and cognitive function.</w:t>
      </w:r>
    </w:p>
    <w:p>
      <w:pPr>
        <w:numPr>
          <w:ilvl w:val="0"/>
          <w:numId w:val="1002"/>
        </w:numPr>
        <w:pStyle w:val="Compact"/>
      </w:pPr>
      <w:r>
        <w:t xml:space="preserve">Education on energy conservation techniques for patients with chronic conditions.</w:t>
      </w:r>
    </w:p>
    <w:p>
      <w:pPr>
        <w:pStyle w:val="FirstParagraph"/>
      </w:pPr>
      <w:r>
        <w:t xml:space="preserve">The</w:t>
      </w:r>
      <w:r>
        <w:t xml:space="preserve"> </w:t>
      </w:r>
      <w:r>
        <w:rPr>
          <w:bCs/>
          <w:b/>
        </w:rPr>
        <w:t xml:space="preserve">Peer Review Report</w:t>
      </w:r>
      <w:r>
        <w:t xml:space="preserve"> </w:t>
      </w:r>
      <w:r>
        <w:t xml:space="preserve">highlights this adaptability as a critical strength, aligning with the principles of occupational therapy in resource-constrained environments.</w:t>
      </w:r>
    </w:p>
    <w:bookmarkEnd w:id="24"/>
    <w:bookmarkStart w:id="25" w:name="ethical-practice-and-professionalism"/>
    <w:p>
      <w:pPr>
        <w:pStyle w:val="Heading2"/>
      </w:pPr>
      <w:r>
        <w:t xml:space="preserve">5. Ethical Practice and Professionalism</w:t>
      </w:r>
    </w:p>
    <w:p>
      <w:pPr>
        <w:pStyle w:val="FirstParagraph"/>
      </w:pPr>
      <w:r>
        <w:t xml:space="preserve">Ethical standards are paramount in healthcare. The</w:t>
      </w:r>
      <w:r>
        <w:t xml:space="preserve"> </w:t>
      </w:r>
      <w:r>
        <w:rPr>
          <w:bCs/>
          <w:b/>
        </w:rPr>
        <w:t xml:space="preserve">Occupational Therapist</w:t>
      </w:r>
      <w:r>
        <w:t xml:space="preserve"> </w:t>
      </w:r>
      <w:r>
        <w:t xml:space="preserve">adhered to the code of ethics established by the Bangladesh Occupational Therapy Association and international guidelines. Key observations include:</w:t>
      </w:r>
    </w:p>
    <w:p>
      <w:pPr>
        <w:numPr>
          <w:ilvl w:val="0"/>
          <w:numId w:val="1003"/>
        </w:numPr>
        <w:pStyle w:val="Compact"/>
      </w:pPr>
      <w:r>
        <w:t xml:space="preserve">Maintaining patient confidentiality and informed consent practices.</w:t>
      </w:r>
    </w:p>
    <w:p>
      <w:pPr>
        <w:numPr>
          <w:ilvl w:val="0"/>
          <w:numId w:val="1003"/>
        </w:numPr>
        <w:pStyle w:val="Compact"/>
      </w:pPr>
      <w:r>
        <w:t xml:space="preserve">Providing equitable care regardless of socioeconomic status, which is particularly relevant in the diverse population of Dhaka.</w:t>
      </w:r>
    </w:p>
    <w:p>
      <w:pPr>
        <w:numPr>
          <w:ilvl w:val="0"/>
          <w:numId w:val="1003"/>
        </w:numPr>
        <w:pStyle w:val="Compact"/>
      </w:pPr>
      <w:r>
        <w:t xml:space="preserve">Engaging in continuous professional development to stay updated with advancements in rehabilitation science.</w:t>
      </w:r>
    </w:p>
    <w:p>
      <w:pPr>
        <w:pStyle w:val="FirstParagraph"/>
      </w:pPr>
      <w:r>
        <w:t xml:space="preserve">The therapist’s commitment to ethical practice fosters trust and enhances the therapeutic relationship, which is essential for effective outcomes.</w:t>
      </w:r>
    </w:p>
    <w:bookmarkEnd w:id="25"/>
    <w:bookmarkStart w:id="26" w:name="interdisciplinary-collaboration"/>
    <w:p>
      <w:pPr>
        <w:pStyle w:val="Heading2"/>
      </w:pPr>
      <w:r>
        <w:t xml:space="preserve">6. Interdisciplinary Collaboration</w:t>
      </w:r>
    </w:p>
    <w:p>
      <w:pPr>
        <w:pStyle w:val="FirstParagraph"/>
      </w:pPr>
      <w:r>
        <w:t xml:space="preserve">Effective rehabilitation requires teamwork. The</w:t>
      </w:r>
      <w:r>
        <w:t xml:space="preserve"> </w:t>
      </w:r>
      <w:r>
        <w:rPr>
          <w:bCs/>
          <w:b/>
        </w:rPr>
        <w:t xml:space="preserve">Occupational Therapist</w:t>
      </w:r>
      <w:r>
        <w:t xml:space="preserve"> </w:t>
      </w:r>
      <w:r>
        <w:t xml:space="preserve">actively collaborated with physicians, physiotherapists, speech therapists, and social workers in Dhaka-based healthcare facilities. This interdisciplinary approach ensured holistic care for patients with complex needs.</w:t>
      </w:r>
    </w:p>
    <w:p>
      <w:pPr>
        <w:pStyle w:val="BodyText"/>
      </w:pPr>
      <w:r>
        <w:t xml:space="preserve">The</w:t>
      </w:r>
      <w:r>
        <w:t xml:space="preserve"> </w:t>
      </w:r>
      <w:r>
        <w:rPr>
          <w:bCs/>
          <w:b/>
        </w:rPr>
        <w:t xml:space="preserve">Peer Review Report</w:t>
      </w:r>
      <w:r>
        <w:t xml:space="preserve"> </w:t>
      </w:r>
      <w:r>
        <w:t xml:space="preserve">notes that the therapist contributed valuable insights during team meetings, advocating for patient-centered goals and environmental adaptations. Strengthening communication channels with community health workers could further enhance outreach efforts in underserved areas of Dhaka.</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 practice of the</w:t>
      </w:r>
      <w:r>
        <w:t xml:space="preserve"> </w:t>
      </w:r>
      <w:r>
        <w:rPr>
          <w:bCs/>
          <w:b/>
        </w:rPr>
        <w:t xml:space="preserve">Occupational Therapist</w:t>
      </w:r>
      <w:r>
        <w:t xml:space="preserve"> </w:t>
      </w:r>
      <w:r>
        <w:t xml:space="preserve">in</w:t>
      </w:r>
      <w:r>
        <w:t xml:space="preserve"> </w:t>
      </w:r>
      <w:r>
        <w:rPr>
          <w:bCs/>
          <w:b/>
        </w:rPr>
        <w:t xml:space="preserve">Bangladesh Dhaka</w:t>
      </w:r>
      <w:r>
        <w:t xml:space="preserve">:</w:t>
      </w:r>
    </w:p>
    <w:p>
      <w:pPr>
        <w:numPr>
          <w:ilvl w:val="0"/>
          <w:numId w:val="1004"/>
        </w:numPr>
        <w:pStyle w:val="Compact"/>
      </w:pPr>
      <w:r>
        <w:t xml:space="preserve">Implement standardized outcome measurement tools to evaluate the effectiveness of interventions over time.</w:t>
      </w:r>
    </w:p>
    <w:p>
      <w:pPr>
        <w:numPr>
          <w:ilvl w:val="0"/>
          <w:numId w:val="1004"/>
        </w:numPr>
        <w:pStyle w:val="Compact"/>
      </w:pPr>
      <w:r>
        <w:t xml:space="preserve">Expand community-based rehabilitation programs to reach patients in peri-urban and rural areas surrounding Dhaka.</w:t>
      </w:r>
    </w:p>
    <w:p>
      <w:pPr>
        <w:numPr>
          <w:ilvl w:val="0"/>
          <w:numId w:val="1004"/>
        </w:numPr>
        <w:pStyle w:val="Compact"/>
      </w:pPr>
      <w:r>
        <w:t xml:space="preserve">Engage in research activities to contribute to the growing body of knowledge on occupational therapy practices in South Asia.</w:t>
      </w:r>
    </w:p>
    <w:p>
      <w:pPr>
        <w:numPr>
          <w:ilvl w:val="0"/>
          <w:numId w:val="1004"/>
        </w:numPr>
        <w:pStyle w:val="Compact"/>
      </w:pPr>
      <w:r>
        <w:t xml:space="preserve">Provide training to family caregivers to ensure continuity of care and support patient independence.</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affirms the high level of competency and dedication of the</w:t>
      </w:r>
      <w:r>
        <w:t xml:space="preserve"> </w:t>
      </w:r>
      <w:r>
        <w:rPr>
          <w:bCs/>
          <w:b/>
        </w:rPr>
        <w:t xml:space="preserve">Occupational Therapist</w:t>
      </w:r>
      <w:r>
        <w:t xml:space="preserve"> </w:t>
      </w:r>
      <w:r>
        <w:t xml:space="preserve">practicing in</w:t>
      </w:r>
      <w:r>
        <w:t xml:space="preserve"> </w:t>
      </w:r>
      <w:r>
        <w:rPr>
          <w:bCs/>
          <w:b/>
        </w:rPr>
        <w:t xml:space="preserve">Bangladesh Dhaka</w:t>
      </w:r>
      <w:r>
        <w:t xml:space="preserve">. The therapist’s ability to deliver culturally sensitive, resourceful, and patient-centered care is exemplary. By addressing the recommendations outlined in this report, the therapist can further elevate the quality of rehabilitation services and contribute to the broader health goals of the community in Dhaka.</w:t>
      </w:r>
    </w:p>
    <w:bookmarkEnd w:id="28"/>
    <w:p>
      <w:pPr>
        <w:pStyle w:val="BodyText"/>
      </w:pPr>
      <w:r>
        <w:rPr>
          <w:bCs/>
          <w:b/>
        </w:rPr>
        <w:t xml:space="preserve">Prepared by:</w:t>
      </w:r>
      <w:r>
        <w:t xml:space="preserve"> </w:t>
      </w:r>
      <w:r>
        <w:t xml:space="preserve">Peer Review Committee</w:t>
      </w:r>
    </w:p>
    <w:p>
      <w:pPr>
        <w:pStyle w:val="BodyText"/>
      </w:pPr>
      <w:r>
        <w:rPr>
          <w:bCs/>
          <w:b/>
        </w:rPr>
        <w:t xml:space="preserve">Document Type:</w:t>
      </w:r>
      <w:r>
        <w:t xml:space="preserve"> </w:t>
      </w:r>
      <w:r>
        <w:t xml:space="preserve">Confidential Peer Review Report</w:t>
      </w:r>
    </w:p>
    <w:p>
      <w:pPr>
        <w:pStyle w:val="BodyText"/>
      </w:pPr>
      <w:r>
        <w:rPr>
          <w:bCs/>
          <w:b/>
        </w:rPr>
        <w:t xml:space="preserve">Location:</w:t>
      </w:r>
      <w:r>
        <w:t xml:space="preserve"> </w:t>
      </w: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Dhaka, Bangladesh</dc:title>
  <dc:creator/>
  <dc:language>en</dc:language>
  <cp:keywords/>
  <dcterms:created xsi:type="dcterms:W3CDTF">2026-10-10T04:35:15Z</dcterms:created>
  <dcterms:modified xsi:type="dcterms:W3CDTF">2026-10-10T04:35:15Z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