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Professional Competency Assessment for Occupational Therapist</w:t>
      </w:r>
    </w:p>
    <w:p>
      <w:pPr>
        <w:pStyle w:val="BodyText"/>
      </w:pPr>
      <w:r>
        <w:t xml:space="preserve">Location:</w:t>
      </w:r>
      <w:r>
        <w:t xml:space="preserve"> </w:t>
      </w:r>
      <w:r>
        <w:t xml:space="preserve">Mumbai, Maharashtra, India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OT-MUM-2023-089</w:t>
      </w:r>
    </w:p>
    <w:p>
      <w:pPr>
        <w:pStyle w:val="BodyText"/>
      </w:pPr>
      <w:r>
        <w:t xml:space="preserve">Regulatory Body:</w:t>
      </w:r>
      <w:r>
        <w:t xml:space="preserve"> </w:t>
      </w:r>
      <w:r>
        <w:t xml:space="preserve">State Council of Occupational Therapy (Maharashtra)</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competence, clinical reasoning, ethical adherence, and service delivery standards of the subject</w:t>
      </w:r>
      <w:r>
        <w:t xml:space="preserve"> </w:t>
      </w:r>
      <w:r>
        <w:rPr>
          <w:bCs/>
          <w:b/>
        </w:rPr>
        <w:t xml:space="preserve">Occupational Therapist</w:t>
      </w:r>
      <w:r>
        <w:t xml:space="preserve"> </w:t>
      </w:r>
      <w:r>
        <w:t xml:space="preserve">practicing within the metropolitan region of</w:t>
      </w:r>
      <w:r>
        <w:t xml:space="preserve"> </w:t>
      </w:r>
      <w:r>
        <w:rPr>
          <w:bCs/>
          <w:b/>
        </w:rPr>
        <w:t xml:space="preserve">Mumbai, India</w:t>
      </w:r>
      <w:r>
        <w:t xml:space="preserve">. The review aligns with the guidelines set forth by the Rehabilitation Council of India (RCI) and the local healthcare standards prevalent in Maharashtra.</w:t>
      </w:r>
    </w:p>
    <w:p>
      <w:pPr>
        <w:pStyle w:val="BodyText"/>
      </w:pPr>
      <w:r>
        <w:t xml:space="preserve">The primary objective of this assessment is to ensure that the Occupational Therapist maintains high-quality care standards suitable for the diverse patient demographics found in Mumbai. Given the city's unique socio-economic landscape, ranging from high-density urban slums to affluent suburbs, the therapist's ability to adapt interventions to varying cultural, financial, and environmental contexts is a critical component of this review.</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Occupational Therapist</w:t>
            </w:r>
          </w:p>
        </w:tc>
        <w:tc>
          <w:tcPr/>
          <w:p>
            <w:pPr>
              <w:pStyle w:val="Compact"/>
              <w:jc w:val="left"/>
            </w:pPr>
            <w:r>
              <w:t xml:space="preserve">[Confidential - Subject ID: OT-4492]</w:t>
            </w:r>
          </w:p>
        </w:tc>
      </w:tr>
      <w:tr>
        <w:tc>
          <w:tcPr/>
          <w:p>
            <w:pPr>
              <w:pStyle w:val="Compact"/>
              <w:jc w:val="left"/>
            </w:pPr>
            <w:r>
              <w:t xml:space="preserve">Registration Number (RCI)</w:t>
            </w:r>
          </w:p>
        </w:tc>
        <w:tc>
          <w:tcPr/>
          <w:p>
            <w:pPr>
              <w:pStyle w:val="Compact"/>
              <w:jc w:val="left"/>
            </w:pPr>
            <w:r>
              <w:t xml:space="preserve">RCI/MH/OT/XXXXX</w:t>
            </w:r>
          </w:p>
        </w:tc>
      </w:tr>
      <w:tr>
        <w:tc>
          <w:tcPr/>
          <w:p>
            <w:pPr>
              <w:pStyle w:val="Compact"/>
              <w:jc w:val="left"/>
            </w:pPr>
            <w:r>
              <w:t xml:space="preserve">Practice Setting</w:t>
            </w:r>
          </w:p>
        </w:tc>
        <w:tc>
          <w:tcPr/>
          <w:p>
            <w:pPr>
              <w:pStyle w:val="Compact"/>
              <w:jc w:val="left"/>
            </w:pPr>
            <w:r>
              <w:t xml:space="preserve">Multi-specialty Hospital, Andheri West, Mumbai</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Specialization</w:t>
            </w:r>
          </w:p>
        </w:tc>
        <w:tc>
          <w:tcPr/>
          <w:p>
            <w:pPr>
              <w:pStyle w:val="Compact"/>
              <w:jc w:val="left"/>
            </w:pPr>
            <w:r>
              <w:t xml:space="preserve">Neurological Rehabilitation and Pediatric Developmental Disorders</w:t>
            </w:r>
          </w:p>
        </w:tc>
      </w:tr>
    </w:tbl>
    <w:bookmarkEnd w:id="22"/>
    <w:bookmarkStart w:id="25" w:name="clinical-competency-and-case-management"/>
    <w:p>
      <w:pPr>
        <w:pStyle w:val="Heading2"/>
      </w:pPr>
      <w:r>
        <w:t xml:space="preserve">3. Clinical Competency and Case Management</w:t>
      </w:r>
    </w:p>
    <w:p>
      <w:pPr>
        <w:pStyle w:val="FirstParagraph"/>
      </w:pPr>
      <w:r>
        <w:t xml:space="preserve">The review panel examined a random sample of 20 patient files managed by the Occupational Therapist over the past six months. The assessment focused on the accuracy of assessments, appropriateness of goal setting, and the efficacy of intervention plans.</w:t>
      </w:r>
    </w:p>
    <w:bookmarkStart w:id="23" w:name="assessment-and-diagnosis"/>
    <w:p>
      <w:pPr>
        <w:pStyle w:val="Heading3"/>
      </w:pPr>
      <w:r>
        <w:t xml:space="preserve">3.1 Assessment and Diagnosis</w:t>
      </w:r>
    </w:p>
    <w:p>
      <w:pPr>
        <w:pStyle w:val="FirstParagraph"/>
      </w:pPr>
      <w:r>
        <w:t xml:space="preserve">The therapist demonstrates a robust understanding of standardized assessment tools relevant to the Indian context. In cases involving stroke survivors and cerebral palsy, the use of tools such as the Barthel Index and the Peabody Developmental Motor Scales was observed to be accurate and well-documented. The therapist effectively considers the environmental barriers specific to Mumbai households, such as narrow staircases in older buildings or lack of elevator access, when evaluating a patient's functional independence.</w:t>
      </w:r>
    </w:p>
    <w:bookmarkEnd w:id="23"/>
    <w:bookmarkStart w:id="24" w:name="intervention-planning"/>
    <w:p>
      <w:pPr>
        <w:pStyle w:val="Heading3"/>
      </w:pPr>
      <w:r>
        <w:t xml:space="preserve">3.2 Intervention Planning</w:t>
      </w:r>
    </w:p>
    <w:p>
      <w:pPr>
        <w:pStyle w:val="FirstParagraph"/>
      </w:pPr>
      <w:r>
        <w:t xml:space="preserve">Intervention plans are generally patient-centered and culturally sensitive. The therapist successfully incorporates family involvement, which is crucial in the Indian healthcare model. For pediatric cases, the therapist engages parents in home-based programs that utilize locally available materials, ensuring sustainability of therapy outside the clinic. However, the panel noted that documentation of long-term outcome measures could be more rigorous to track progress over extended periods.</w:t>
      </w:r>
    </w:p>
    <w:bookmarkEnd w:id="24"/>
    <w:bookmarkEnd w:id="25"/>
    <w:bookmarkStart w:id="26" w:name="X847556be454051c4cebe9b10cfbc93d04f150f5"/>
    <w:p>
      <w:pPr>
        <w:pStyle w:val="Heading2"/>
      </w:pPr>
      <w:r>
        <w:t xml:space="preserve">4. Ethical Practice and Professional Conduct</w:t>
      </w:r>
    </w:p>
    <w:p>
      <w:pPr>
        <w:pStyle w:val="FirstParagraph"/>
      </w:pPr>
      <w:r>
        <w:t xml:space="preserve">Adherence to the Code of Ethics for Occupational Therapists in India was thoroughly reviewed. The practitioner maintains strict patient confidentiality and obtains informed consent in a language understandable to the patient or their guardians (often Marathi or Hindi in addition to English).</w:t>
      </w:r>
    </w:p>
    <w:p>
      <w:pPr>
        <w:pStyle w:val="BodyText"/>
      </w:pPr>
      <w:r>
        <w:t xml:space="preserve">The therapist exhibits professionalism in interactions with multidisciplinary teams, including physiatrists, physiotherapists, and speech-language pathologists. There were no reports of ethical breaches, conflicts of interest, or unprofessional behavior during the review period. The therapist actively participates in continuing education workshops organized by local associations in Mumbai, demonstrating a commitment to professional growth.</w:t>
      </w:r>
    </w:p>
    <w:bookmarkEnd w:id="26"/>
    <w:bookmarkStart w:id="27" w:name="X9e0ef471bfe26866b946f43ac8fe2382dbede8f"/>
    <w:p>
      <w:pPr>
        <w:pStyle w:val="Heading2"/>
      </w:pPr>
      <w:r>
        <w:t xml:space="preserve">5. Adaptability to Local Context (Mumbai Specifics)</w:t>
      </w:r>
    </w:p>
    <w:p>
      <w:pPr>
        <w:pStyle w:val="FirstParagraph"/>
      </w:pPr>
      <w:r>
        <w:t xml:space="preserve">A significant portion of this</w:t>
      </w:r>
      <w:r>
        <w:t xml:space="preserve"> </w:t>
      </w:r>
      <w:r>
        <w:rPr>
          <w:bCs/>
          <w:b/>
        </w:rPr>
        <w:t xml:space="preserve">Peer Review Report</w:t>
      </w:r>
      <w:r>
        <w:t xml:space="preserve"> </w:t>
      </w:r>
      <w:r>
        <w:t xml:space="preserve">evaluates how the</w:t>
      </w:r>
      <w:r>
        <w:t xml:space="preserve"> </w:t>
      </w:r>
      <w:r>
        <w:rPr>
          <w:bCs/>
          <w:b/>
        </w:rPr>
        <w:t xml:space="preserve">Occupational Therapist</w:t>
      </w:r>
      <w:r>
        <w:t xml:space="preserve"> </w:t>
      </w:r>
      <w:r>
        <w:t xml:space="preserve">navigates the specific challenges of practicing in</w:t>
      </w:r>
      <w:r>
        <w:t xml:space="preserve"> </w:t>
      </w:r>
      <w:r>
        <w:rPr>
          <w:bCs/>
          <w:b/>
        </w:rPr>
        <w:t xml:space="preserve">Mumbai, India</w:t>
      </w:r>
      <w:r>
        <w:t xml:space="preserve">.</w:t>
      </w:r>
    </w:p>
    <w:p>
      <w:pPr>
        <w:numPr>
          <w:ilvl w:val="0"/>
          <w:numId w:val="1001"/>
        </w:numPr>
        <w:pStyle w:val="Compact"/>
      </w:pPr>
      <w:r>
        <w:rPr>
          <w:bCs/>
          <w:b/>
        </w:rPr>
        <w:t xml:space="preserve">Resource Utilization:</w:t>
      </w:r>
      <w:r>
        <w:t xml:space="preserve"> </w:t>
      </w:r>
      <w:r>
        <w:t xml:space="preserve">The therapist shows excellent skill in creating low-cost adaptive devices using locally sourced materials, which is essential for patients from lower socio-economic backgrounds common in many parts of Mumbai.</w:t>
      </w:r>
    </w:p>
    <w:p>
      <w:pPr>
        <w:numPr>
          <w:ilvl w:val="0"/>
          <w:numId w:val="1001"/>
        </w:numPr>
        <w:pStyle w:val="Compact"/>
      </w:pPr>
      <w:r>
        <w:rPr>
          <w:bCs/>
          <w:b/>
        </w:rPr>
        <w:t xml:space="preserve">Cultural Sensitivity:</w:t>
      </w:r>
      <w:r>
        <w:t xml:space="preserve"> </w:t>
      </w:r>
      <w:r>
        <w:t xml:space="preserve">Interventions respect local traditions and family dynamics. For instance, home modifications are suggested in a way that does not disrupt the cultural layout of traditional Indian homes.</w:t>
      </w:r>
    </w:p>
    <w:p>
      <w:pPr>
        <w:numPr>
          <w:ilvl w:val="0"/>
          <w:numId w:val="1001"/>
        </w:numPr>
        <w:pStyle w:val="Compact"/>
      </w:pPr>
      <w:r>
        <w:rPr>
          <w:bCs/>
          <w:b/>
        </w:rPr>
        <w:t xml:space="preserve">Accessibility:</w:t>
      </w:r>
      <w:r>
        <w:t xml:space="preserve"> </w:t>
      </w:r>
      <w:r>
        <w:t xml:space="preserve">The therapist provides clear guidance on navigating Mumbai's public transport system for patients requiring independent mobility, a critical life skill in this city.</w:t>
      </w:r>
    </w:p>
    <w:bookmarkEnd w:id="27"/>
    <w:bookmarkStart w:id="28" w:name="areas-for-improvement"/>
    <w:p>
      <w:pPr>
        <w:pStyle w:val="Heading2"/>
      </w:pPr>
      <w:r>
        <w:t xml:space="preserve">6. Areas for Improvement</w:t>
      </w:r>
    </w:p>
    <w:p>
      <w:pPr>
        <w:pStyle w:val="FirstParagraph"/>
      </w:pPr>
      <w:r>
        <w:t xml:space="preserve">While the overall performance is commendable, the following areas require attention:</w:t>
      </w:r>
    </w:p>
    <w:p>
      <w:pPr>
        <w:numPr>
          <w:ilvl w:val="0"/>
          <w:numId w:val="1002"/>
        </w:numPr>
        <w:pStyle w:val="Compact"/>
      </w:pPr>
      <w:r>
        <w:rPr>
          <w:bCs/>
          <w:b/>
        </w:rPr>
        <w:t xml:space="preserve">Digital Documentation:</w:t>
      </w:r>
      <w:r>
        <w:t xml:space="preserve"> </w:t>
      </w:r>
      <w:r>
        <w:t xml:space="preserve">Transitioning from paper-based records to a secure Electronic Health Record (EHR) system would improve data accuracy and accessibility, aligning with India's growing digital health infrastructure.</w:t>
      </w:r>
    </w:p>
    <w:p>
      <w:pPr>
        <w:numPr>
          <w:ilvl w:val="0"/>
          <w:numId w:val="1002"/>
        </w:numPr>
        <w:pStyle w:val="Compact"/>
      </w:pPr>
      <w:r>
        <w:rPr>
          <w:bCs/>
          <w:b/>
        </w:rPr>
        <w:t xml:space="preserve">Research Engagement:</w:t>
      </w:r>
      <w:r>
        <w:t xml:space="preserve"> </w:t>
      </w:r>
      <w:r>
        <w:t xml:space="preserve">The therapist is encouraged to contribute to local research on occupational therapy outcomes in urban Indian settings to further the evidence base.</w:t>
      </w:r>
    </w:p>
    <w:p>
      <w:pPr>
        <w:numPr>
          <w:ilvl w:val="0"/>
          <w:numId w:val="1002"/>
        </w:numPr>
        <w:pStyle w:val="Compact"/>
      </w:pPr>
      <w:r>
        <w:rPr>
          <w:bCs/>
          <w:b/>
        </w:rPr>
        <w:t xml:space="preserve">Community Outreach:</w:t>
      </w:r>
      <w:r>
        <w:t xml:space="preserve"> </w:t>
      </w:r>
      <w:r>
        <w:t xml:space="preserve">Expanding services to include community-based rehabilitation programs in underserved areas of Mumbai would enhance public health impact.</w:t>
      </w:r>
    </w:p>
    <w:bookmarkEnd w:id="28"/>
    <w:bookmarkStart w:id="29" w:name="overall-rating-and-conclusion"/>
    <w:p>
      <w:pPr>
        <w:pStyle w:val="Heading2"/>
      </w:pPr>
      <w:r>
        <w:t xml:space="preserve">7. Overall Rating and Conclusion</w:t>
      </w:r>
    </w:p>
    <w:p>
      <w:pPr>
        <w:pStyle w:val="FirstParagraph"/>
      </w:pPr>
      <w:r>
        <w:rPr>
          <w:bCs/>
          <w:b/>
        </w:rPr>
        <w:t xml:space="preserve">Rating Scale:</w:t>
      </w:r>
      <w:r>
        <w:t xml:space="preserve"> </w:t>
      </w:r>
      <w:r>
        <w:t xml:space="preserve">1 (Unsatisfactory) to 5 (Excellent)</w:t>
      </w:r>
      <w:r>
        <w:br/>
      </w:r>
      <w:r>
        <w:rPr>
          <w:bCs/>
          <w:b/>
        </w:rPr>
        <w:t xml:space="preserve">Clinical Competency:</w:t>
      </w:r>
      <w:r>
        <w:t xml:space="preserve"> </w:t>
      </w:r>
      <w:r>
        <w:t xml:space="preserve">4.5</w:t>
      </w:r>
      <w:r>
        <w:br/>
      </w:r>
      <w:r>
        <w:rPr>
          <w:bCs/>
          <w:b/>
        </w:rPr>
        <w:t xml:space="preserve">Ethical Practice:</w:t>
      </w:r>
      <w:r>
        <w:t xml:space="preserve"> </w:t>
      </w:r>
      <w:r>
        <w:t xml:space="preserve">5.0</w:t>
      </w:r>
      <w:r>
        <w:br/>
      </w:r>
      <w:r>
        <w:rPr>
          <w:bCs/>
          <w:b/>
        </w:rPr>
        <w:t xml:space="preserve">Documentation:</w:t>
      </w:r>
      <w:r>
        <w:t xml:space="preserve"> </w:t>
      </w:r>
      <w:r>
        <w:t xml:space="preserve">3.5</w:t>
      </w:r>
      <w:r>
        <w:br/>
      </w:r>
      <w:r>
        <w:rPr>
          <w:bCs/>
          <w:b/>
        </w:rPr>
        <w:t xml:space="preserve">Local Adaptability:</w:t>
      </w:r>
      <w:r>
        <w:t xml:space="preserve"> </w:t>
      </w:r>
      <w:r>
        <w:t xml:space="preserve">5.0</w:t>
      </w:r>
      <w:r>
        <w:br/>
      </w:r>
      <w:r>
        <w:rPr>
          <w:bCs/>
          <w:b/>
        </w:rPr>
        <w:t xml:space="preserve">Overall Score:</w:t>
      </w:r>
      <w:r>
        <w:t xml:space="preserve"> </w:t>
      </w:r>
      <w:r>
        <w:t xml:space="preserve">4.5 / 5.0</w:t>
      </w:r>
    </w:p>
    <w:p>
      <w:pPr>
        <w:pStyle w:val="BodyText"/>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Occupational Therapist</w:t>
      </w:r>
      <w:r>
        <w:t xml:space="preserve"> </w:t>
      </w:r>
      <w:r>
        <w:t xml:space="preserve">is a highly competent professional providing quality care in</w:t>
      </w:r>
      <w:r>
        <w:t xml:space="preserve"> </w:t>
      </w:r>
      <w:r>
        <w:rPr>
          <w:bCs/>
          <w:b/>
        </w:rPr>
        <w:t xml:space="preserve">Mumbai, India</w:t>
      </w:r>
      <w:r>
        <w:t xml:space="preserve">. The therapist meets all regulatory requirements and demonstrates a strong commitment to patient well-being. With minor improvements in documentation practices and research engagement, the therapist is well-positioned to continue delivering exceptional occupational therapy services.</w:t>
      </w:r>
    </w:p>
    <w:bookmarkEnd w:id="29"/>
    <w:p>
      <w:pPr>
        <w:pStyle w:val="BodyText"/>
      </w:pPr>
      <w:r>
        <w:rPr>
          <w:bCs/>
          <w:b/>
        </w:rPr>
        <w:t xml:space="preserve">Reviewed By:</w:t>
      </w:r>
    </w:p>
    <w:p>
      <w:pPr>
        <w:pStyle w:val="BodyText"/>
      </w:pPr>
      <w:r>
        <w:t xml:space="preserve">Dr. Anjali Deshmukh, M.O.T., Ph.D.</w:t>
      </w:r>
    </w:p>
    <w:p>
      <w:pPr>
        <w:pStyle w:val="BodyText"/>
      </w:pPr>
      <w:r>
        <w:t xml:space="preserve">Senior Peer Reviewer</w:t>
      </w:r>
    </w:p>
    <w:p>
      <w:pPr>
        <w:pStyle w:val="BodyText"/>
      </w:pPr>
      <w:r>
        <w:t xml:space="preserve">Mumbai Association of Occupational Therapists</w:t>
      </w:r>
    </w:p>
    <w:p>
      <w:pPr>
        <w:pStyle w:val="BodyText"/>
      </w:pPr>
      <w:r>
        <w:t xml:space="preserve">Signature</w:t>
      </w:r>
    </w:p>
    <w:p>
      <w:pPr>
        <w:pStyle w:val="BodyText"/>
      </w:pPr>
      <w:r>
        <w:rPr>
          <w:bCs/>
          <w:b/>
        </w:rPr>
        <w:t xml:space="preserve">Co-Reviewer:</w:t>
      </w:r>
    </w:p>
    <w:p>
      <w:pPr>
        <w:pStyle w:val="BodyText"/>
      </w:pPr>
      <w:r>
        <w:t xml:space="preserve">Rajesh Kumar, M.O.T.</w:t>
      </w:r>
    </w:p>
    <w:p>
      <w:pPr>
        <w:pStyle w:val="BodyText"/>
      </w:pPr>
      <w:r>
        <w:t xml:space="preserve">Clinical Supervisor</w:t>
      </w:r>
    </w:p>
    <w:p>
      <w:pPr>
        <w:pStyle w:val="BodyText"/>
      </w:pPr>
      <w:r>
        <w:t xml:space="preserve">State Council of Occupational Therapy</w:t>
      </w:r>
    </w:p>
    <w:p>
      <w:pPr>
        <w:pStyle w:val="BodyText"/>
      </w:pPr>
      <w:r>
        <w:t xml:space="preserve">Signature</w:t>
      </w:r>
    </w:p>
    <w:p>
      <w:pPr>
        <w:pStyle w:val="BodyText"/>
      </w:pPr>
      <w:r>
        <w:t xml:space="preserve">This document is confidential and intended solely for the use of the individual(s) or entity to whom it is addressed. Unauthorized distribution is prohibited.</w:t>
      </w:r>
    </w:p>
    <w:p>
      <w:pPr>
        <w:pStyle w:val="BodyText"/>
      </w:pPr>
      <w:r>
        <w:t xml:space="preserve">© 2023 Peer Review Committee,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Mumbai, India</dc:title>
  <dc:creator/>
  <dc:language>en</dc:language>
  <cp:keywords/>
  <dcterms:created xsi:type="dcterms:W3CDTF">2026-10-10T01:59:39Z</dcterms:created>
  <dcterms:modified xsi:type="dcterms:W3CDTF">2026-10-10T01:59:39Z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