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Turkey</w:t>
      </w:r>
      <w:r>
        <w:t xml:space="preserve"> </w:t>
      </w:r>
      <w:r>
        <w:t xml:space="preserve">Istanbul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Role:</w:t>
      </w:r>
      <w:r>
        <w:t xml:space="preserve"> </w:t>
      </w:r>
      <w:r>
        <w:t xml:space="preserve">Occupational Therapist</w:t>
      </w:r>
    </w:p>
    <w:p>
      <w:pPr>
        <w:pStyle w:val="BodyText"/>
      </w:pPr>
      <w:r>
        <w:rPr>
          <w:bCs/>
          <w:b/>
        </w:rPr>
        <w:t xml:space="preserve">Location:</w:t>
      </w:r>
      <w:r>
        <w:t xml:space="preserve"> </w:t>
      </w:r>
      <w:r>
        <w:t xml:space="preserve">Turkey Istanbul</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conducted to evaluate the professional performance, clinical reasoning, and ethical adherence of the designated Occupational Therapist practicing within the healthcare infrastructure of Turkey Istanbul. The review aligns with the standards set forth by the Turkish Ministry of Health and international occupational therapy guidelines. The primary objective is to ensure that the therapeutic interventions provided to patients in this dynamic metropolitan region meet the highest standards of safety, efficacy, and patient-centered care.</w:t>
      </w:r>
    </w:p>
    <w:p>
      <w:pPr>
        <w:pStyle w:val="BodyText"/>
      </w:pPr>
      <w:r>
        <w:t xml:space="preserve">Istanbul, as a major hub for medical tourism and a densely populated urban center, presents unique challenges and opportunities for healthcare providers. This report specifically assesses how the Occupational Therapist navigates these local contextual factors while delivering evidence-based practice.</w:t>
      </w:r>
    </w:p>
    <w:bookmarkEnd w:id="21"/>
    <w:bookmarkStart w:id="22" w:name="clinical-competency-and-assessment"/>
    <w:p>
      <w:pPr>
        <w:pStyle w:val="Heading2"/>
      </w:pPr>
      <w:r>
        <w:t xml:space="preserve">2. Clinical Competency and Assessment</w:t>
      </w:r>
    </w:p>
    <w:p>
      <w:pPr>
        <w:pStyle w:val="FirstParagraph"/>
      </w:pPr>
      <w:r>
        <w:t xml:space="preserve">The Occupational Therapist demonstrated a robust understanding of comprehensive patient assessment protocols. During the review period, the clinician effectively utilized standardized assessment tools relevant to the diverse patient population in Turkey Istanbul. The evaluation process included thorough history taking, functional analysis, and environmental assessments tailored to the specific living conditions found in Istanbul’s varied districts.</w:t>
      </w:r>
    </w:p>
    <w:p>
      <w:pPr>
        <w:pStyle w:val="BodyText"/>
      </w:pPr>
      <w:r>
        <w:t xml:space="preserve">The clinician’s ability to identify barriers to participation—whether physical, psychological, or environmental—was noted as a significant strength. In the context of Turkey Istanbul, where urban mobility and accessibility can vary significantly between neighborhoods, the Occupational Therapist showed exceptional skill in adapting home and workplace modifications to suit the local architectural and infrastructural realities.</w:t>
      </w:r>
    </w:p>
    <w:bookmarkEnd w:id="22"/>
    <w:bookmarkStart w:id="23" w:name="intervention-planning-and-implementation"/>
    <w:p>
      <w:pPr>
        <w:pStyle w:val="Heading2"/>
      </w:pPr>
      <w:r>
        <w:t xml:space="preserve">3. Intervention Planning and Implementation</w:t>
      </w:r>
    </w:p>
    <w:p>
      <w:pPr>
        <w:pStyle w:val="FirstParagraph"/>
      </w:pPr>
      <w:r>
        <w:t xml:space="preserve">Intervention strategies were observed to be highly individualized and culturally sensitive. The Occupational Therapist successfully integrated cultural considerations pertinent to Turkish society into the treatment plans. This included respecting family dynamics, which play a central role in caregiving in Turkey, and ensuring that therapeutic goals aligned with the patient’s social and cultural values.</w:t>
      </w:r>
    </w:p>
    <w:p>
      <w:pPr>
        <w:pStyle w:val="BodyText"/>
      </w:pPr>
      <w:r>
        <w:t xml:space="preserve">The implementation of interventions in Turkey Istanbul was marked by flexibility and innovation. The clinician effectively managed caseloads involving a mix of neurological rehabilitation, pediatric developmental support, and geriatric care. The use of adaptive equipment was appropriate, and the therapist provided clear, actionable guidance to patients and their families on how to utilize these tools within their daily routines in the city.</w:t>
      </w:r>
    </w:p>
    <w:bookmarkEnd w:id="23"/>
    <w:bookmarkStart w:id="24" w:name="professional-ethics-and-legal-compliance"/>
    <w:p>
      <w:pPr>
        <w:pStyle w:val="Heading2"/>
      </w:pPr>
      <w:r>
        <w:t xml:space="preserve">4. Professional Ethics and Legal Compliance</w:t>
      </w:r>
    </w:p>
    <w:p>
      <w:pPr>
        <w:pStyle w:val="FirstParagraph"/>
      </w:pPr>
      <w:r>
        <w:t xml:space="preserve">Adherence to professional ethics and legal regulations was a focal point of this Peer Review Report. The Occupational Therapist strictly followed the regulations established by the Turkish Ministry of Health and the relevant professional associations. Patient confidentiality was maintained with the utmost diligence, in compliance with Turkish data protection laws.</w:t>
      </w:r>
    </w:p>
    <w:p>
      <w:pPr>
        <w:pStyle w:val="BodyText"/>
      </w:pPr>
      <w:r>
        <w:t xml:space="preserve">Informed consent processes were conducted transparently, ensuring that patients in Turkey Istanbul fully understood the nature of the therapy, potential risks, and expected outcomes. The clinician demonstrated a strong commitment to professional integrity, avoiding any conflicts of interest and maintaining appropriate professional boundaries with all clients.</w:t>
      </w:r>
    </w:p>
    <w:bookmarkEnd w:id="24"/>
    <w:bookmarkStart w:id="25" w:name="X6d864ae66987bb3085085e1a883cc578030831e"/>
    <w:p>
      <w:pPr>
        <w:pStyle w:val="Heading2"/>
      </w:pPr>
      <w:r>
        <w:t xml:space="preserve">5. Communication and Interdisciplinary Collaboration</w:t>
      </w:r>
    </w:p>
    <w:p>
      <w:pPr>
        <w:pStyle w:val="FirstParagraph"/>
      </w:pPr>
      <w:r>
        <w:t xml:space="preserve">Effective communication is critical in the complex healthcare environment of Turkey Istanbul. The Occupational Therapist exhibited excellent communication skills, both with patients and with other healthcare professionals. The clinician actively participated in interdisciplinary team meetings, contributing valuable insights to the holistic care plans of patients.</w:t>
      </w:r>
    </w:p>
    <w:p>
      <w:pPr>
        <w:pStyle w:val="BodyText"/>
      </w:pPr>
      <w:r>
        <w:t xml:space="preserve">Collaboration with physicians, physiotherapists, speech therapists, and social workers was seamless. The Occupational Therapist ensured that their interventions were well-coordinated with other treatments, thereby enhancing the overall rehabilitation outcomes. Furthermore, the clinician’s ability to communicate complex therapeutic concepts in clear, accessible language was particularly beneficial for patients and families navigating the healthcare system in Istanbul.</w:t>
      </w:r>
    </w:p>
    <w:bookmarkEnd w:id="25"/>
    <w:bookmarkStart w:id="26" w:name="areas-for-improvement"/>
    <w:p>
      <w:pPr>
        <w:pStyle w:val="Heading2"/>
      </w:pPr>
      <w:r>
        <w:t xml:space="preserve">6. Areas for Improvement</w:t>
      </w:r>
    </w:p>
    <w:p>
      <w:pPr>
        <w:pStyle w:val="FirstParagraph"/>
      </w:pPr>
      <w:r>
        <w:t xml:space="preserve">While the overall performance was exemplary, this Peer Review Report identifies a few areas for potential enhancement. It is recommended that the Occupational Therapist further explore the integration of digital health tools and tele-rehabilitation services, which are increasingly relevant in a technologically advanced city like Turkey Istanbul. Additionally, expanding knowledge on the latest research in neuroplasticity and its application to occupational therapy could further elevate the quality of care provided.</w:t>
      </w:r>
    </w:p>
    <w:bookmarkEnd w:id="26"/>
    <w:bookmarkStart w:id="27" w:name="conclusion"/>
    <w:p>
      <w:pPr>
        <w:pStyle w:val="Heading2"/>
      </w:pPr>
      <w:r>
        <w:t xml:space="preserve">7. Conclusion</w:t>
      </w:r>
    </w:p>
    <w:p>
      <w:pPr>
        <w:pStyle w:val="FirstParagraph"/>
      </w:pPr>
      <w:r>
        <w:t xml:space="preserve">In conclusion, this Peer Review Report affirms that the Occupational Therapist under review meets and, in many aspects, exceeds the professional standards required for practice in Turkey Istanbul. The clinician’s dedication to patient-centered care, cultural competence, and ethical practice makes them a valuable asset to the healthcare community in Istanbul. Continued professional development and adherence to evolving best practices are encouraged to maintain this high level of performance.</w:t>
      </w:r>
    </w:p>
    <w:bookmarkEnd w:id="27"/>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Occupational Therapy Consultant</w:t>
      </w:r>
    </w:p>
    <w:p>
      <w:pPr>
        <w:pStyle w:val="BodyText"/>
      </w:pPr>
      <w:r>
        <w:rPr>
          <w:bCs/>
          <w:b/>
        </w:rPr>
        <w:t xml:space="preserve">Affiliation:</w:t>
      </w:r>
      <w:r>
        <w:t xml:space="preserve"> </w:t>
      </w:r>
      <w:r>
        <w:t xml:space="preserve">[Institution Name], Turkey Istanbul</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Turkey Istanbul</dc:title>
  <dc:creator/>
  <dc:language>en</dc:language>
  <cp:keywords/>
  <dcterms:created xsi:type="dcterms:W3CDTF">2026-10-10T03:52:37Z</dcterms:created>
  <dcterms:modified xsi:type="dcterms:W3CDTF">2026-10-10T03:52:37Z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