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Professional Practice Review</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West Midlands Occupational Therapy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practice, clinical reasoning, and adherence to regulatory standards of a registered Occupational Therapist practicing within the Birmingham area of the United Kingdom. The purpose of this review is to ensure that the practitioner maintains the highest standards of care expected by the Health and Care Professions Council (HCPC) and aligns with the strategic health objectives of the National Health Service (NHS) in the West Midlands.</w:t>
      </w:r>
    </w:p>
    <w:p>
      <w:pPr>
        <w:pStyle w:val="BodyText"/>
      </w:pPr>
      <w:r>
        <w:t xml:space="preserve">Birmingham, as the second-largest city in the United Kingdom, presents a unique and complex demographic landscape. The Occupational Therapist under review operates within a diverse community characterized by significant socioeconomic variation, a multicultural population, and high demand for rehabilitation and community-based services. This report assesses how effectively the practitioner navigates these local challenges while delivering evidence-based occupational therapy interventions.</w:t>
      </w:r>
    </w:p>
    <w:bookmarkEnd w:id="21"/>
    <w:bookmarkStart w:id="22" w:name="X8643c130920d25abe294435a3c5001d6cfcba74"/>
    <w:p>
      <w:pPr>
        <w:pStyle w:val="Heading2"/>
      </w:pPr>
      <w:r>
        <w:t xml:space="preserve">2. Regulatory Compliance and Professional Standards</w:t>
      </w:r>
    </w:p>
    <w:p>
      <w:pPr>
        <w:pStyle w:val="FirstParagraph"/>
      </w:pPr>
      <w:r>
        <w:t xml:space="preserve">The primary focus of this review was to verify compliance with the HCPC Standards of Proficiency for Occupational Therapists. The practitioner demonstrated a robust understanding of their legal and ethical responsibilities within the United Kingdom healthcare framework. Documentation reviewed indicated strict adherence to data protection laws, specifically the UK General Data Protection Regulation (UK GDPR) and the Data Protection Act 2018.</w:t>
      </w:r>
    </w:p>
    <w:p>
      <w:pPr>
        <w:pStyle w:val="BodyText"/>
      </w:pPr>
      <w:r>
        <w:t xml:space="preserve">Furthermore, the Occupational Therapist showed consistent alignment with the British Association of Occupational Therapists (BAOT) code of ethics. In the context of Birmingham’s multi-faith and multi-ethnic communities, the practitioner exhibited exceptional cultural competence. Case notes revealed a tailored approach to patient care that respected individual beliefs, dietary requirements, and family structures, which is critical for effective engagement in this specific region of the United Kingdom.</w:t>
      </w:r>
    </w:p>
    <w:bookmarkEnd w:id="22"/>
    <w:bookmarkStart w:id="23" w:name="clinical-competence-and-practice"/>
    <w:p>
      <w:pPr>
        <w:pStyle w:val="Heading2"/>
      </w:pPr>
      <w:r>
        <w:t xml:space="preserve">3. Clinical Competence and Practice</w:t>
      </w:r>
    </w:p>
    <w:p>
      <w:pPr>
        <w:pStyle w:val="FirstParagraph"/>
      </w:pPr>
      <w:r>
        <w:t xml:space="preserve">The clinical assessment of the Occupational Therapist focused on their ability to conduct comprehensive occupational profiles and perform accurate risk assessments. The review panel observed that the practitioner utilizes standardized assessment tools appropriate for the diverse patient population in Birmingham. This includes adaptations for patients with limited English proficiency, ensuring equitable access to services across the city.</w:t>
      </w:r>
    </w:p>
    <w:p>
      <w:pPr>
        <w:pStyle w:val="BodyText"/>
      </w:pPr>
      <w:r>
        <w:t xml:space="preserve">Intervention planning was found to be patient-centered and goal-oriented. The Occupational Therapist successfully integrates the International Classification of Functioning, Disability and Health (ICF) framework into their practice. In several reviewed cases involving elderly patients in Birmingham’s inner-city districts, the therapist demonstrated innovative problem-solving skills regarding home adaptations and fall prevention. These interventions were not only clinically sound but also cost-effective, aligning with NHS England’s drive for value-based healthcare.</w:t>
      </w:r>
    </w:p>
    <w:p>
      <w:pPr>
        <w:pStyle w:val="BodyText"/>
      </w:pPr>
      <w:r>
        <w:t xml:space="preserve">Additionally, the practitioner’s work in mental health services within the West Midlands was noted. The Occupational Therapist effectively supported patients with severe mental illness in regaining daily living skills and social participation, utilizing community resources specific to Birmingham, such as local support groups and vocational training centers.</w:t>
      </w:r>
    </w:p>
    <w:bookmarkEnd w:id="23"/>
    <w:bookmarkStart w:id="24" w:name="X124f000787142c428205bfb367d04fda276c98e"/>
    <w:p>
      <w:pPr>
        <w:pStyle w:val="Heading2"/>
      </w:pPr>
      <w:r>
        <w:t xml:space="preserve">4. Multidisciplinary Teamwork and Communication</w:t>
      </w:r>
    </w:p>
    <w:p>
      <w:pPr>
        <w:pStyle w:val="FirstParagraph"/>
      </w:pPr>
      <w:r>
        <w:t xml:space="preserve">Effective collaboration is essential in the United Kingdom’s integrated care systems. This Peer Review Report highlights the Occupational Therapist’s strong contribution to multidisciplinary teams (MDTs). The practitioner communicates clearly and professionally with doctors, nurses, social workers, and physiotherapists.</w:t>
      </w:r>
    </w:p>
    <w:p>
      <w:pPr>
        <w:pStyle w:val="BodyText"/>
      </w:pPr>
      <w:r>
        <w:t xml:space="preserve">In the Birmingham context, where services are often stretched, the ability to advocate for patient needs within the MDT is crucial. The review found that the Occupational Therapist actively participates in case conferences and provides timely, concise reports that facilitate seamless transitions of care between hospital settings and community services. This ensures that patients in Birmingham receive continuous support, reducing the risk of readmission and promoting independence.</w:t>
      </w:r>
    </w:p>
    <w:bookmarkEnd w:id="24"/>
    <w:bookmarkStart w:id="25" w:name="continuing-professional-development-cpd"/>
    <w:p>
      <w:pPr>
        <w:pStyle w:val="Heading2"/>
      </w:pPr>
      <w:r>
        <w:t xml:space="preserve">5. Continuing Professional Development (CPD)</w:t>
      </w:r>
    </w:p>
    <w:p>
      <w:pPr>
        <w:pStyle w:val="FirstParagraph"/>
      </w:pPr>
      <w:r>
        <w:t xml:space="preserve">To maintain registration with the HCPC, an Occupational Therapist must engage in regular Continuing Professional Development. The review confirmed that the practitioner has met the required CPD hours. Notably, the practitioner has pursued specialized training in areas relevant to the local needs of Birmingham, such as dementia care and pediatric neurodevelopmental disorders.</w:t>
      </w:r>
    </w:p>
    <w:p>
      <w:pPr>
        <w:pStyle w:val="BodyText"/>
      </w:pPr>
      <w:r>
        <w:t xml:space="preserve">The practitioner also contributes to the wider profession by mentoring junior staff and participating in local research initiatives within the West Midlands. This commitment to lifelong learning ensures that their practice remains current with the latest evidence and best practices in the United Kingdom.</w:t>
      </w:r>
    </w:p>
    <w:bookmarkEnd w:id="25"/>
    <w:bookmarkStart w:id="26" w:name="recommendations-and-conclusion"/>
    <w:p>
      <w:pPr>
        <w:pStyle w:val="Heading2"/>
      </w:pPr>
      <w:r>
        <w:t xml:space="preserve">6. Recommendations and Conclusion</w:t>
      </w:r>
    </w:p>
    <w:p>
      <w:pPr>
        <w:pStyle w:val="FirstParagraph"/>
      </w:pPr>
      <w:r>
        <w:t xml:space="preserve">Based on the evidence gathered, this Peer Review Report concludes that the Occupational Therapist is practicing at a standard that meets and, in several areas, exceeds the expectations of the profession in the United Kingdom. Their ability to adapt clinical practice to the specific cultural and socioeconomic needs of Birmingham residents is commendable.</w:t>
      </w:r>
    </w:p>
    <w:p>
      <w:pPr>
        <w:pStyle w:val="BodyText"/>
      </w:pPr>
      <w:r>
        <w:rPr>
          <w:bCs/>
          <w:b/>
        </w:rPr>
        <w:t xml:space="preserve">Recommendations:</w:t>
      </w:r>
    </w:p>
    <w:p>
      <w:pPr>
        <w:numPr>
          <w:ilvl w:val="0"/>
          <w:numId w:val="1001"/>
        </w:numPr>
        <w:pStyle w:val="Compact"/>
      </w:pPr>
      <w:r>
        <w:t xml:space="preserve">Continue to document cultural adaptations in care plans to serve as a model for other practitioners in the region.</w:t>
      </w:r>
    </w:p>
    <w:p>
      <w:pPr>
        <w:numPr>
          <w:ilvl w:val="0"/>
          <w:numId w:val="1001"/>
        </w:numPr>
        <w:pStyle w:val="Compact"/>
      </w:pPr>
      <w:r>
        <w:t xml:space="preserve">Further explore digital health tools to enhance remote monitoring for patients in Birmingham’s outer suburbs.</w:t>
      </w:r>
    </w:p>
    <w:p>
      <w:pPr>
        <w:numPr>
          <w:ilvl w:val="0"/>
          <w:numId w:val="1001"/>
        </w:numPr>
        <w:pStyle w:val="Compact"/>
      </w:pPr>
      <w:r>
        <w:t xml:space="preserve">Maintain current CPD trajectory, with a focus on emerging trends in community rehabilitation.</w:t>
      </w:r>
    </w:p>
    <w:p>
      <w:pPr>
        <w:pStyle w:val="FirstParagraph"/>
      </w:pPr>
      <w:r>
        <w:t xml:space="preserve">The panel is satisfied that the Occupational Therapist is fit to practice and is providing high-quality, safe, and effective care to the people of Birmingham.</w:t>
      </w:r>
    </w:p>
    <w:bookmarkEnd w:id="26"/>
    <w:p>
      <w:pPr>
        <w:pStyle w:val="BodyText"/>
      </w:pPr>
      <w:r>
        <w:rPr>
          <w:bCs/>
          <w:b/>
        </w:rPr>
        <w:t xml:space="preserve">Report Prepared By:</w:t>
      </w:r>
    </w:p>
    <w:p>
      <w:pPr>
        <w:pStyle w:val="BodyText"/>
      </w:pPr>
      <w:r>
        <w:t xml:space="preserve">Senior Peer Reviewer</w:t>
      </w:r>
    </w:p>
    <w:p>
      <w:pPr>
        <w:pStyle w:val="BodyText"/>
      </w:pPr>
      <w:r>
        <w:t xml:space="preserve">West Midlands Occupational Therapy Peer Review Panel</w:t>
      </w:r>
    </w:p>
    <w:p>
      <w:pPr>
        <w:pStyle w:val="BodyText"/>
      </w:pPr>
      <w:r>
        <w:rPr>
          <w:iCs/>
          <w:i/>
        </w:rPr>
        <w:t xml:space="preserve">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Birmingham, United Kingdom</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