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Specialty:</w:t>
      </w:r>
      <w:r>
        <w:t xml:space="preserve"> </w:t>
      </w:r>
      <w:r>
        <w:t xml:space="preserve">Ophthalmology</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PR-BA-OPH-2023-089</w:t>
      </w:r>
    </w:p>
    <w:p>
      <w:pPr>
        <w:pStyle w:val="BodyText"/>
      </w:pPr>
      <w:r>
        <w:rPr>
          <w:bCs/>
          <w:b/>
        </w:rPr>
        <w:t xml:space="preserve">Location:</w:t>
      </w:r>
      <w:r>
        <w:t xml:space="preserve"> </w:t>
      </w:r>
      <w:r>
        <w:t xml:space="preserve">Buenos Aires, Argentina</w:t>
      </w:r>
    </w:p>
    <w:p>
      <w:pPr>
        <w:pStyle w:val="BodyText"/>
      </w:pPr>
      <w:r>
        <w:rPr>
          <w:bCs/>
          <w:b/>
        </w:rPr>
        <w:t xml:space="preserve">Reviewer Panel:</w:t>
      </w:r>
      <w:r>
        <w:t xml:space="preserve"> </w:t>
      </w:r>
      <w:r>
        <w:t xml:space="preserve">Independent Medical Board</w:t>
      </w:r>
    </w:p>
    <w:p>
      <w:pPr>
        <w:pStyle w:val="BodyText"/>
      </w:pPr>
      <w:r>
        <w:rPr>
          <w:bCs/>
          <w:b/>
        </w:rPr>
        <w:t xml:space="preserve">Facility:</w:t>
      </w:r>
      <w:r>
        <w:t xml:space="preserve"> </w:t>
      </w:r>
      <w:r>
        <w:t xml:space="preserve">Private Ophthalmology Clinic (Recoleta District)</w:t>
      </w:r>
    </w:p>
    <w:p>
      <w:pPr>
        <w:pStyle w:val="BodyText"/>
      </w:pPr>
      <w:r>
        <w:rPr>
          <w:bCs/>
          <w:b/>
        </w:rPr>
        <w:t xml:space="preserve">Regulatory Body:</w:t>
      </w:r>
      <w:r>
        <w:t xml:space="preserve"> </w:t>
      </w:r>
      <w:r>
        <w:t xml:space="preserve">Colegio Médico de la Ciudad Autónoma de Buenos Aires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details the comprehensive evaluation of a practicing</w:t>
      </w:r>
      <w:r>
        <w:t xml:space="preserve"> </w:t>
      </w:r>
      <w:r>
        <w:rPr>
          <w:bCs/>
          <w:b/>
        </w:rPr>
        <w:t xml:space="preserve">Ophthalmologist</w:t>
      </w:r>
      <w:r>
        <w:t xml:space="preserve"> </w:t>
      </w:r>
      <w:r>
        <w:t xml:space="preserve">based in</w:t>
      </w:r>
      <w:r>
        <w:t xml:space="preserve"> </w:t>
      </w:r>
      <w:r>
        <w:rPr>
          <w:bCs/>
          <w:b/>
        </w:rPr>
        <w:t xml:space="preserve">Argentina Buenos Aires</w:t>
      </w:r>
      <w:r>
        <w:t xml:space="preserve">. The review was conducted to assess clinical proficiency, adherence to international and local medical standards, patient safety protocols, and ethical conduct. The evaluation took place within the context of the healthcare infrastructure in Buenos Aires, considering both public health regulations and private practice expectations. The subject demonstrated a high level of technical skill in refractive surgery and retinal diagnostics, though minor administrative improvements were noted.</w:t>
      </w:r>
    </w:p>
    <w:bookmarkEnd w:id="21"/>
    <w:bookmarkStart w:id="22" w:name="professional-background-and-credentials"/>
    <w:p>
      <w:pPr>
        <w:pStyle w:val="Heading2"/>
      </w:pPr>
      <w:r>
        <w:t xml:space="preserve">2. Professional Background and Credentials</w:t>
      </w:r>
    </w:p>
    <w:p>
      <w:pPr>
        <w:pStyle w:val="FirstParagraph"/>
      </w:pPr>
      <w:r>
        <w:t xml:space="preserve">The</w:t>
      </w:r>
      <w:r>
        <w:t xml:space="preserve"> </w:t>
      </w:r>
      <w:r>
        <w:rPr>
          <w:bCs/>
          <w:b/>
        </w:rPr>
        <w:t xml:space="preserve">Ophthalmologist</w:t>
      </w:r>
      <w:r>
        <w:t xml:space="preserve"> </w:t>
      </w:r>
      <w:r>
        <w:t xml:space="preserve">under review holds a medical degree from a recognized university in Argentina and completed a specialized residency in Ophthalmology. They are fully registered with the</w:t>
      </w:r>
      <w:r>
        <w:t xml:space="preserve"> </w:t>
      </w:r>
      <w:r>
        <w:rPr>
          <w:iCs/>
          <w:i/>
        </w:rPr>
        <w:t xml:space="preserve">Colegio Médico de la Ciudad Autónoma de Buenos Aires</w:t>
      </w:r>
      <w:r>
        <w:t xml:space="preserve"> </w:t>
      </w:r>
      <w:r>
        <w:t xml:space="preserve">and maintain active membership in the</w:t>
      </w:r>
      <w:r>
        <w:t xml:space="preserve"> </w:t>
      </w:r>
      <w:r>
        <w:rPr>
          <w:iCs/>
          <w:i/>
        </w:rPr>
        <w:t xml:space="preserve">Sociedad Argentina de Oftalmología</w:t>
      </w:r>
      <w:r>
        <w:t xml:space="preserve">. The practitioner has over 12 years of experience, with a significant portion spent in high-volume clinics in Buenos Aires. Their credentials were verified against national databases, confirming no history of disciplinary sanctions.</w:t>
      </w:r>
    </w:p>
    <w:bookmarkEnd w:id="22"/>
    <w:bookmarkStart w:id="25" w:name="clinical-competency-assessment"/>
    <w:p>
      <w:pPr>
        <w:pStyle w:val="Heading2"/>
      </w:pPr>
      <w:r>
        <w:t xml:space="preserve">3. Clinical Competency Assessment</w:t>
      </w:r>
    </w:p>
    <w:p>
      <w:pPr>
        <w:pStyle w:val="FirstParagraph"/>
      </w:pPr>
      <w:r>
        <w:t xml:space="preserve">The core of this</w:t>
      </w:r>
      <w:r>
        <w:t xml:space="preserve"> </w:t>
      </w:r>
      <w:r>
        <w:rPr>
          <w:bCs/>
          <w:b/>
        </w:rPr>
        <w:t xml:space="preserve">Peer Review Report</w:t>
      </w:r>
      <w:r>
        <w:t xml:space="preserve"> </w:t>
      </w:r>
      <w:r>
        <w:t xml:space="preserve">focuses on the clinical capabilities of the</w:t>
      </w:r>
      <w:r>
        <w:t xml:space="preserve"> </w:t>
      </w:r>
      <w:r>
        <w:rPr>
          <w:bCs/>
          <w:b/>
        </w:rPr>
        <w:t xml:space="preserve">Ophthalmologist</w:t>
      </w:r>
      <w:r>
        <w:t xml:space="preserve">. The review panel analyzed 50 anonymized patient charts, focusing on common pathologies prevalent in the region, such as cataracts, glaucoma, and diabetic retinopathy.</w:t>
      </w:r>
    </w:p>
    <w:bookmarkStart w:id="23" w:name="diagnostic-accuracy"/>
    <w:p>
      <w:pPr>
        <w:pStyle w:val="Heading3"/>
      </w:pPr>
      <w:r>
        <w:t xml:space="preserve">3.1 Diagnostic Accuracy</w:t>
      </w:r>
    </w:p>
    <w:p>
      <w:pPr>
        <w:pStyle w:val="FirstParagraph"/>
      </w:pPr>
      <w:r>
        <w:t xml:space="preserve">The practitioner demonstrated exceptional diagnostic accuracy. Utilization of advanced imaging technologies, such as Optical Coherence Tomography (OCT) and fundus photography, was consistent with current best practices in</w:t>
      </w:r>
      <w:r>
        <w:t xml:space="preserve"> </w:t>
      </w:r>
      <w:r>
        <w:rPr>
          <w:bCs/>
          <w:b/>
        </w:rPr>
        <w:t xml:space="preserve">Argentina Buenos Aires</w:t>
      </w:r>
      <w:r>
        <w:t xml:space="preserve">. The interpretation of these images was precise, leading to appropriate treatment plans in 98% of reviewed cases.</w:t>
      </w:r>
    </w:p>
    <w:bookmarkEnd w:id="23"/>
    <w:bookmarkStart w:id="24" w:name="surgical-proficiency"/>
    <w:p>
      <w:pPr>
        <w:pStyle w:val="Heading3"/>
      </w:pPr>
      <w:r>
        <w:t xml:space="preserve">3.2 Surgical Proficiency</w:t>
      </w:r>
    </w:p>
    <w:p>
      <w:pPr>
        <w:pStyle w:val="FirstParagraph"/>
      </w:pPr>
      <w:r>
        <w:t xml:space="preserve">Surgical outcomes were evaluated based on complication rates and post-operative recovery. The</w:t>
      </w:r>
      <w:r>
        <w:t xml:space="preserve"> </w:t>
      </w:r>
      <w:r>
        <w:rPr>
          <w:bCs/>
          <w:b/>
        </w:rPr>
        <w:t xml:space="preserve">Ophthalmologist</w:t>
      </w:r>
      <w:r>
        <w:t xml:space="preserve"> </w:t>
      </w:r>
      <w:r>
        <w:t xml:space="preserve">performs a high volume of phacoemulsification procedures. The complication rate was found to be well below the national average. Intraoperative decision-making was sound, and the management of surgical emergencies was handled with professionalism and speed.</w:t>
      </w:r>
    </w:p>
    <w:bookmarkEnd w:id="24"/>
    <w:bookmarkEnd w:id="25"/>
    <w:bookmarkStart w:id="26" w:name="adherence-to-standards-and-protocols"/>
    <w:p>
      <w:pPr>
        <w:pStyle w:val="Heading2"/>
      </w:pPr>
      <w:r>
        <w:t xml:space="preserve">4. Adherence to Standards and Protocols</w:t>
      </w:r>
    </w:p>
    <w:p>
      <w:pPr>
        <w:pStyle w:val="FirstParagraph"/>
      </w:pPr>
      <w:r>
        <w:t xml:space="preserve">Compliance with medical standards is critical in any</w:t>
      </w:r>
      <w:r>
        <w:t xml:space="preserve"> </w:t>
      </w:r>
      <w:r>
        <w:rPr>
          <w:bCs/>
          <w:b/>
        </w:rPr>
        <w:t xml:space="preserve">Peer Review Report</w:t>
      </w:r>
      <w:r>
        <w:t xml:space="preserve">. The review assessed adherence to the guidelines set by the Ministry of Health of Argentina and international ophthalmological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Assessment</w:t>
            </w:r>
          </w:p>
        </w:tc>
        <w:tc>
          <w:tcPr/>
          <w:p>
            <w:pPr>
              <w:pStyle w:val="Compact"/>
              <w:jc w:val="left"/>
            </w:pPr>
            <w:r>
              <w:t xml:space="preserve">Score (1-5)</w:t>
            </w:r>
          </w:p>
        </w:tc>
      </w:tr>
      <w:tr>
        <w:tc>
          <w:tcPr/>
          <w:p>
            <w:pPr>
              <w:pStyle w:val="Compact"/>
              <w:jc w:val="left"/>
            </w:pPr>
            <w:r>
              <w:t xml:space="preserve">Infection Control Protocols</w:t>
            </w:r>
          </w:p>
        </w:tc>
        <w:tc>
          <w:tcPr/>
          <w:p>
            <w:pPr>
              <w:pStyle w:val="Compact"/>
              <w:jc w:val="left"/>
            </w:pPr>
            <w:r>
              <w:t xml:space="preserve">Strict adherence to sterilization guidelines.</w:t>
            </w:r>
          </w:p>
        </w:tc>
        <w:tc>
          <w:tcPr/>
          <w:p>
            <w:pPr>
              <w:pStyle w:val="Compact"/>
              <w:jc w:val="left"/>
            </w:pPr>
            <w:r>
              <w:t xml:space="preserve">5</w:t>
            </w:r>
          </w:p>
        </w:tc>
      </w:tr>
      <w:tr>
        <w:tc>
          <w:tcPr/>
          <w:p>
            <w:pPr>
              <w:pStyle w:val="Compact"/>
              <w:jc w:val="left"/>
            </w:pPr>
            <w:r>
              <w:t xml:space="preserve">Patient History Documentation</w:t>
            </w:r>
          </w:p>
        </w:tc>
        <w:tc>
          <w:tcPr/>
          <w:p>
            <w:pPr>
              <w:pStyle w:val="Compact"/>
              <w:jc w:val="left"/>
            </w:pPr>
            <w:r>
              <w:t xml:space="preserve">Comprehensive and detailed records.</w:t>
            </w:r>
          </w:p>
        </w:tc>
        <w:tc>
          <w:tcPr/>
          <w:p>
            <w:pPr>
              <w:pStyle w:val="Compact"/>
              <w:jc w:val="left"/>
            </w:pPr>
            <w:r>
              <w:t xml:space="preserve">5</w:t>
            </w:r>
          </w:p>
        </w:tc>
      </w:tr>
      <w:tr>
        <w:tc>
          <w:tcPr/>
          <w:p>
            <w:pPr>
              <w:pStyle w:val="Compact"/>
              <w:jc w:val="left"/>
            </w:pPr>
            <w:r>
              <w:t xml:space="preserve">Informed Consent Process</w:t>
            </w:r>
          </w:p>
        </w:tc>
        <w:tc>
          <w:tcPr/>
          <w:p>
            <w:pPr>
              <w:pStyle w:val="Compact"/>
              <w:jc w:val="left"/>
            </w:pPr>
            <w:r>
              <w:t xml:space="preserve">Clear communication of risks and benefits.</w:t>
            </w:r>
          </w:p>
        </w:tc>
        <w:tc>
          <w:tcPr/>
          <w:p>
            <w:pPr>
              <w:pStyle w:val="Compact"/>
              <w:jc w:val="left"/>
            </w:pPr>
            <w:r>
              <w:t xml:space="preserve">4</w:t>
            </w:r>
          </w:p>
        </w:tc>
      </w:tr>
      <w:tr>
        <w:tc>
          <w:tcPr/>
          <w:p>
            <w:pPr>
              <w:pStyle w:val="Compact"/>
              <w:jc w:val="left"/>
            </w:pPr>
            <w:r>
              <w:t xml:space="preserve">Continuing Medical Education</w:t>
            </w:r>
          </w:p>
        </w:tc>
        <w:tc>
          <w:tcPr/>
          <w:p>
            <w:pPr>
              <w:pStyle w:val="Compact"/>
              <w:jc w:val="left"/>
            </w:pPr>
            <w:r>
              <w:t xml:space="preserve">Regular attendance at conferences in Buenos Aires.</w:t>
            </w:r>
          </w:p>
        </w:tc>
        <w:tc>
          <w:tcPr/>
          <w:p>
            <w:pPr>
              <w:pStyle w:val="Compact"/>
              <w:jc w:val="left"/>
            </w:pPr>
            <w:r>
              <w:t xml:space="preserve">5</w:t>
            </w:r>
          </w:p>
        </w:tc>
      </w:tr>
    </w:tbl>
    <w:bookmarkEnd w:id="26"/>
    <w:bookmarkStart w:id="27" w:name="patient-care-and-communication"/>
    <w:p>
      <w:pPr>
        <w:pStyle w:val="Heading2"/>
      </w:pPr>
      <w:r>
        <w:t xml:space="preserve">5. Patient Care and Communication</w:t>
      </w:r>
    </w:p>
    <w:p>
      <w:pPr>
        <w:pStyle w:val="FirstParagraph"/>
      </w:pPr>
      <w:r>
        <w:t xml:space="preserve">Effective communication is vital for an</w:t>
      </w:r>
      <w:r>
        <w:t xml:space="preserve"> </w:t>
      </w:r>
      <w:r>
        <w:rPr>
          <w:bCs/>
          <w:b/>
        </w:rPr>
        <w:t xml:space="preserve">Ophthalmologist</w:t>
      </w:r>
      <w:r>
        <w:t xml:space="preserve">, particularly when explaining complex visual conditions to patients. During the review, patient feedback surveys from the clinic in</w:t>
      </w:r>
      <w:r>
        <w:t xml:space="preserve"> </w:t>
      </w:r>
      <w:r>
        <w:rPr>
          <w:bCs/>
          <w:b/>
        </w:rPr>
        <w:t xml:space="preserve">Argentina Buenos Aires</w:t>
      </w:r>
      <w:r>
        <w:t xml:space="preserve"> </w:t>
      </w:r>
      <w:r>
        <w:t xml:space="preserve">were analyzed. The results indicated a high satisfaction rate regarding the doctor's empathy, clarity of explanation, and willingness to answer questions. The practitioner was noted for taking adequate time with elderly patients, a significant demographic in the Buenos Aires healthcare system.</w:t>
      </w:r>
    </w:p>
    <w:bookmarkEnd w:id="27"/>
    <w:bookmarkStart w:id="28" w:name="ethical-conduct-and-professionalism"/>
    <w:p>
      <w:pPr>
        <w:pStyle w:val="Heading2"/>
      </w:pPr>
      <w:r>
        <w:t xml:space="preserve">6. Ethical Conduct and Professionalism</w:t>
      </w:r>
    </w:p>
    <w:p>
      <w:pPr>
        <w:pStyle w:val="FirstParagraph"/>
      </w:pPr>
      <w:r>
        <w:t xml:space="preserve">The</w:t>
      </w:r>
      <w:r>
        <w:t xml:space="preserve"> </w:t>
      </w:r>
      <w:r>
        <w:rPr>
          <w:bCs/>
          <w:b/>
        </w:rPr>
        <w:t xml:space="preserve">Peer Review Report</w:t>
      </w:r>
      <w:r>
        <w:t xml:space="preserve"> </w:t>
      </w:r>
      <w:r>
        <w:t xml:space="preserve">confirms that the</w:t>
      </w:r>
      <w:r>
        <w:t xml:space="preserve"> </w:t>
      </w:r>
      <w:r>
        <w:rPr>
          <w:bCs/>
          <w:b/>
        </w:rPr>
        <w:t xml:space="preserve">Ophthalmologist</w:t>
      </w:r>
      <w:r>
        <w:t xml:space="preserve"> </w:t>
      </w:r>
      <w:r>
        <w:t xml:space="preserve">maintains the highest ethical standards. There were no instances of over-treatment or unnecessary referrals. Financial transparency was observed, with clear pricing structures for procedures, which is a key concern for patients in the private sector of Buenos Aires. The practitioner respects patient confidentiality in accordance with Argentine data protection laws.</w:t>
      </w:r>
    </w:p>
    <w:bookmarkEnd w:id="28"/>
    <w:bookmarkStart w:id="29" w:name="areas-for-improvement"/>
    <w:p>
      <w:pPr>
        <w:pStyle w:val="Heading2"/>
      </w:pPr>
      <w:r>
        <w:t xml:space="preserve">7. Areas for Improvement</w:t>
      </w:r>
    </w:p>
    <w:p>
      <w:pPr>
        <w:pStyle w:val="FirstParagraph"/>
      </w:pPr>
      <w:r>
        <w:t xml:space="preserve">While the overall performance is excellent, the review identified minor areas for enhancement:</w:t>
      </w:r>
    </w:p>
    <w:p>
      <w:pPr>
        <w:numPr>
          <w:ilvl w:val="0"/>
          <w:numId w:val="1001"/>
        </w:numPr>
        <w:pStyle w:val="Compact"/>
      </w:pPr>
      <w:r>
        <w:rPr>
          <w:bCs/>
          <w:b/>
        </w:rPr>
        <w:t xml:space="preserve">Digital Record Integration:</w:t>
      </w:r>
      <w:r>
        <w:t xml:space="preserve"> </w:t>
      </w:r>
      <w:r>
        <w:t xml:space="preserve">While records are thorough, transitioning to a fully integrated electronic health record (EHR) system compatible with national networks in Argentina would improve data accessibility.</w:t>
      </w:r>
    </w:p>
    <w:p>
      <w:pPr>
        <w:numPr>
          <w:ilvl w:val="0"/>
          <w:numId w:val="1001"/>
        </w:numPr>
        <w:pStyle w:val="Compact"/>
      </w:pPr>
      <w:r>
        <w:rPr>
          <w:bCs/>
          <w:b/>
        </w:rPr>
        <w:t xml:space="preserve">Wait Times:</w:t>
      </w:r>
      <w:r>
        <w:t xml:space="preserve"> </w:t>
      </w:r>
      <w:r>
        <w:t xml:space="preserve">Due to high demand, patient wait times occasionally exceed 30 minutes. Implementing a more robust scheduling system could improve the patient experience.</w:t>
      </w:r>
    </w:p>
    <w:bookmarkEnd w:id="29"/>
    <w:bookmarkStart w:id="30" w:name="conclusion-and-recommendation"/>
    <w:p>
      <w:pPr>
        <w:pStyle w:val="Heading2"/>
      </w:pPr>
      <w:r>
        <w:t xml:space="preserve">8. Conclusion and Recommendation</w:t>
      </w:r>
    </w:p>
    <w:p>
      <w:pPr>
        <w:pStyle w:val="FirstParagraph"/>
      </w:pPr>
      <w:r>
        <w:t xml:space="preserve">Based on the comprehensive analysis presented in this</w:t>
      </w:r>
      <w:r>
        <w:t xml:space="preserve"> </w:t>
      </w:r>
      <w:r>
        <w:rPr>
          <w:bCs/>
          <w:b/>
        </w:rPr>
        <w:t xml:space="preserve">Peer Review Report</w:t>
      </w:r>
      <w:r>
        <w:t xml:space="preserve">, the</w:t>
      </w:r>
      <w:r>
        <w:t xml:space="preserve"> </w:t>
      </w:r>
      <w:r>
        <w:rPr>
          <w:bCs/>
          <w:b/>
        </w:rPr>
        <w:t xml:space="preserve">Ophthalmologist</w:t>
      </w:r>
      <w:r>
        <w:t xml:space="preserve"> </w:t>
      </w:r>
      <w:r>
        <w:t xml:space="preserve">has demonstrated outstanding clinical competence, ethical integrity, and dedication to patient care. Their practice in</w:t>
      </w:r>
      <w:r>
        <w:t xml:space="preserve"> </w:t>
      </w:r>
      <w:r>
        <w:rPr>
          <w:bCs/>
          <w:b/>
        </w:rPr>
        <w:t xml:space="preserve">Argentina Buenos Aires</w:t>
      </w:r>
      <w:r>
        <w:t xml:space="preserve"> </w:t>
      </w:r>
      <w:r>
        <w:t xml:space="preserve">serves as a model of quality ophthalmological care.</w:t>
      </w:r>
    </w:p>
    <w:p>
      <w:pPr>
        <w:pStyle w:val="BodyText"/>
      </w:pPr>
      <w:r>
        <w:rPr>
          <w:bCs/>
          <w:b/>
        </w:rPr>
        <w:t xml:space="preserve">Final Recommendation:</w:t>
      </w:r>
      <w:r>
        <w:t xml:space="preserve"> </w:t>
      </w:r>
      <w:r>
        <w:t xml:space="preserve">The review panel unanimously recommends the</w:t>
      </w:r>
      <w:r>
        <w:t xml:space="preserve"> </w:t>
      </w:r>
      <w:r>
        <w:rPr>
          <w:bCs/>
          <w:b/>
        </w:rPr>
        <w:t xml:space="preserve">Ophthalmologist</w:t>
      </w:r>
      <w:r>
        <w:t xml:space="preserve"> </w:t>
      </w:r>
      <w:r>
        <w:t xml:space="preserve">for continued unrestricted practice. We suggest implementing the minor administrative improvements noted above to further enhance operational efficiency.</w:t>
      </w:r>
    </w:p>
    <w:p>
      <w:pPr>
        <w:pStyle w:val="BodyText"/>
      </w:pPr>
      <w:r>
        <w:rPr>
          <w:bCs/>
          <w:b/>
        </w:rPr>
        <w:t xml:space="preserve">Disclaimer:</w:t>
      </w:r>
      <w:r>
        <w:t xml:space="preserve"> </w:t>
      </w:r>
      <w:r>
        <w:t xml:space="preserve">This document is a simulated Peer Review Report generated for demonstration purposes. It does not represent a real medical evaluation or a specific individual.</w:t>
      </w:r>
    </w:p>
    <w:p>
      <w:pPr>
        <w:pStyle w:val="BodyText"/>
      </w:pPr>
      <w:r>
        <w:t xml:space="preserve">© 2023 Medical Review Board Simulation.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Buenos Aires, Argentina</dc:title>
  <dc:creator/>
  <dc:language>en</dc:language>
  <cp:keywords/>
  <dcterms:created xsi:type="dcterms:W3CDTF">2026-10-10T06:31:22Z</dcterms:created>
  <dcterms:modified xsi:type="dcterms:W3CDTF">2026-10-10T06:31:22Z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