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Ophthalmology</w:t>
      </w:r>
    </w:p>
    <w:p>
      <w:pPr>
        <w:pStyle w:val="BodyText"/>
      </w:pPr>
      <w:r>
        <w:rPr>
          <w:bCs/>
          <w:b/>
        </w:rPr>
        <w:t xml:space="preserve">Location:</w:t>
      </w:r>
      <w:r>
        <w:t xml:space="preserve"> </w:t>
      </w:r>
      <w:r>
        <w:t xml:space="preserve">Australia Melbourne</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Medical Board of Australia and the Royal Australian and New Zealand College of Ophthalmologists (RANZCO). The purpose of this report is to evaluate the clinical practice, professional conduct, and patient care standards of an Ophthalmologist practicing in Australia Melbourne. This review aims to ensure that the highest levels of medical care are maintained, benefiting both patients and the broader healthcare community.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Ophthalmologist Name</w:t>
            </w:r>
          </w:p>
        </w:tc>
        <w:tc>
          <w:tcPr/>
          <w:p>
            <w:pPr>
              <w:pStyle w:val="Compact"/>
              <w:jc w:val="left"/>
            </w:pPr>
            <w:r>
              <w:t xml:space="preserve">[Name Redacted]</w:t>
            </w:r>
          </w:p>
        </w:tc>
      </w:tr>
      <w:tr>
        <w:tc>
          <w:tcPr/>
          <w:p>
            <w:pPr>
              <w:pStyle w:val="Compact"/>
              <w:jc w:val="left"/>
            </w:pPr>
            <w:r>
              <w:t xml:space="preserve">Practice Location</w:t>
            </w:r>
          </w:p>
        </w:tc>
        <w:tc>
          <w:tcPr/>
          <w:p>
            <w:pPr>
              <w:pStyle w:val="Compact"/>
              <w:jc w:val="left"/>
            </w:pPr>
            <w:r>
              <w:t xml:space="preserve">[Clinic/Hospital Name], Australia Melbourne</w:t>
            </w:r>
          </w:p>
        </w:tc>
      </w:tr>
      <w:tr>
        <w:tc>
          <w:tcPr/>
          <w:p>
            <w:pPr>
              <w:pStyle w:val="Compact"/>
              <w:jc w:val="left"/>
            </w:pPr>
            <w:r>
              <w:t xml:space="preserve">Years of Practice</w:t>
            </w:r>
          </w:p>
        </w:tc>
        <w:tc>
          <w:tcPr/>
          <w:p>
            <w:pPr>
              <w:pStyle w:val="Compact"/>
              <w:jc w:val="left"/>
            </w:pPr>
            <w:r>
              <w:t xml:space="preserve">[Number] years</w:t>
            </w:r>
          </w:p>
        </w:tc>
      </w:tr>
      <w:tr>
        <w:tc>
          <w:tcPr/>
          <w:p>
            <w:pPr>
              <w:pStyle w:val="Compact"/>
              <w:jc w:val="left"/>
            </w:pPr>
            <w:r>
              <w:t xml:space="preserve">Specializations</w:t>
            </w:r>
          </w:p>
        </w:tc>
        <w:tc>
          <w:tcPr/>
          <w:p>
            <w:pPr>
              <w:pStyle w:val="Compact"/>
              <w:jc w:val="left"/>
            </w:pPr>
            <w:r>
              <w:t xml:space="preserve">[List Specializations]</w:t>
            </w:r>
          </w:p>
        </w:tc>
      </w:tr>
      <w:tr>
        <w:tc>
          <w:tcPr/>
          <w:p>
            <w:pPr>
              <w:pStyle w:val="Compact"/>
              <w:jc w:val="left"/>
            </w:pPr>
            <w:r>
              <w:t xml:space="preserve">Reason for Review</w:t>
            </w:r>
          </w:p>
        </w:tc>
        <w:tc>
          <w:tcPr/>
          <w:p>
            <w:pPr>
              <w:pStyle w:val="Compact"/>
              <w:jc w:val="left"/>
            </w:pPr>
            <w:r>
              <w:t xml:space="preserve">[Routine/Complaint/Referral]</w:t>
            </w:r>
          </w:p>
        </w:tc>
      </w:tr>
    </w:tbl>
    <w:bookmarkEnd w:id="22"/>
    <w:bookmarkStart w:id="26" w:name="clinical-practice-evaluation"/>
    <w:p>
      <w:pPr>
        <w:pStyle w:val="Heading2"/>
      </w:pPr>
      <w:r>
        <w:t xml:space="preserve">3. Clinical Practice Evaluation</w:t>
      </w:r>
    </w:p>
    <w:bookmarkStart w:id="23" w:name="diagnostic-accuracy"/>
    <w:p>
      <w:pPr>
        <w:pStyle w:val="Heading3"/>
      </w:pPr>
      <w:r>
        <w:t xml:space="preserve">3.1 Diagnostic Accuracy</w:t>
      </w:r>
    </w:p>
    <w:p>
      <w:pPr>
        <w:pStyle w:val="FirstParagraph"/>
      </w:pPr>
      <w:r>
        <w:t xml:space="preserve">The Ophthalmologist's diagnostic accuracy was assessed through a review of patient records, imaging reports, and consultation notes. The findings indicate a high level of proficiency in diagnosing various ocular conditions, including but not limited to cataracts, glaucoma, macular degeneration, and diabetic retinopathy. The use of advanced diagnostic tools such as optical coherence tomography (OCT) and visual field testing aligns with current best practices in Australia Melbourne.</w:t>
      </w:r>
    </w:p>
    <w:bookmarkEnd w:id="23"/>
    <w:bookmarkStart w:id="24" w:name="treatment-plans"/>
    <w:p>
      <w:pPr>
        <w:pStyle w:val="Heading3"/>
      </w:pPr>
      <w:r>
        <w:t xml:space="preserve">3.2 Treatment Plans</w:t>
      </w:r>
    </w:p>
    <w:p>
      <w:pPr>
        <w:pStyle w:val="FirstParagraph"/>
      </w:pPr>
      <w:r>
        <w:t xml:space="preserve">Treatment plans were evaluated for their appropriateness, evidence-based nature, and alignment with RANZCO guidelines. The Ophthalmologist demonstrated a thorough understanding of both surgical and non-surgical interventions. Patient education regarding treatment options, potential risks, and expected outcomes was consistently documented, reflecting a commitment to informed consent and patient autonomy.</w:t>
      </w:r>
    </w:p>
    <w:bookmarkEnd w:id="24"/>
    <w:bookmarkStart w:id="25" w:name="surgical-competence"/>
    <w:p>
      <w:pPr>
        <w:pStyle w:val="Heading3"/>
      </w:pPr>
      <w:r>
        <w:t xml:space="preserve">3.3 Surgical Competence</w:t>
      </w:r>
    </w:p>
    <w:p>
      <w:pPr>
        <w:pStyle w:val="FirstParagraph"/>
      </w:pPr>
      <w:r>
        <w:t xml:space="preserve">A review of surgical outcomes, including complication rates and patient satisfaction scores, revealed that the Ophthalmologist maintains a strong track record in performing procedures such as cataract surgery, LASIK, and retinal repairs. Adherence to sterile techniques and post-operative care protocols was observed to be exemplary.</w:t>
      </w:r>
    </w:p>
    <w:bookmarkEnd w:id="25"/>
    <w:bookmarkEnd w:id="26"/>
    <w:bookmarkStart w:id="30" w:name="professional-conduct"/>
    <w:p>
      <w:pPr>
        <w:pStyle w:val="Heading2"/>
      </w:pPr>
      <w:r>
        <w:t xml:space="preserve">4. Professional Conduct</w:t>
      </w:r>
    </w:p>
    <w:bookmarkStart w:id="27" w:name="communication-skills"/>
    <w:p>
      <w:pPr>
        <w:pStyle w:val="Heading3"/>
      </w:pPr>
      <w:r>
        <w:t xml:space="preserve">4.1 Communication Skills</w:t>
      </w:r>
    </w:p>
    <w:p>
      <w:pPr>
        <w:pStyle w:val="FirstParagraph"/>
      </w:pPr>
      <w:r>
        <w:t xml:space="preserve">Effective communication is crucial in ophthalmology, where complex information must be conveyed clearly to patients. Feedback from patients and colleagues indicates that the Ophthalmologist excels in explaining medical conditions and treatment options in an understandable manner. This skill is particularly important in a diverse city like Australia Melbourne, where patients may come from various cultural backgrounds.</w:t>
      </w:r>
    </w:p>
    <w:bookmarkEnd w:id="27"/>
    <w:bookmarkStart w:id="28" w:name="ethical-standards"/>
    <w:p>
      <w:pPr>
        <w:pStyle w:val="Heading3"/>
      </w:pPr>
      <w:r>
        <w:t xml:space="preserve">4.2 Ethical Standards</w:t>
      </w:r>
    </w:p>
    <w:p>
      <w:pPr>
        <w:pStyle w:val="FirstParagraph"/>
      </w:pPr>
      <w:r>
        <w:t xml:space="preserve">The Ophthalmologist adheres strictly to the ethical guidelines outlined by the Medical Board of Australia. There were no instances of conflicts of interest, breaches of confidentiality, or unethical behavior identified during the review period. The commitment to maintaining professional integrity is evident in all aspects of practice.</w:t>
      </w:r>
    </w:p>
    <w:bookmarkEnd w:id="28"/>
    <w:bookmarkStart w:id="29" w:name="collaboration-with-healthcare-team"/>
    <w:p>
      <w:pPr>
        <w:pStyle w:val="Heading3"/>
      </w:pPr>
      <w:r>
        <w:t xml:space="preserve">4.3 Collaboration with Healthcare Team</w:t>
      </w:r>
    </w:p>
    <w:p>
      <w:pPr>
        <w:pStyle w:val="FirstParagraph"/>
      </w:pPr>
      <w:r>
        <w:t xml:space="preserve">Collaboration with other healthcare professionals, including optometrists, general practitioners, and allied health workers, is essential for comprehensive patient care. The Ophthalmologist actively participates in multidisciplinary team meetings and contributes valuable insights to patient management plans. This collaborative approach enhances the quality of care provided in Australia Melbourne.</w:t>
      </w:r>
    </w:p>
    <w:bookmarkEnd w:id="29"/>
    <w:bookmarkEnd w:id="30"/>
    <w:bookmarkStart w:id="34" w:name="patient-care-standards"/>
    <w:p>
      <w:pPr>
        <w:pStyle w:val="Heading2"/>
      </w:pPr>
      <w:r>
        <w:t xml:space="preserve">5. Patient Care Standards</w:t>
      </w:r>
    </w:p>
    <w:bookmarkStart w:id="31" w:name="patient-safety"/>
    <w:p>
      <w:pPr>
        <w:pStyle w:val="Heading3"/>
      </w:pPr>
      <w:r>
        <w:t xml:space="preserve">5.1 Patient Safety</w:t>
      </w:r>
    </w:p>
    <w:p>
      <w:pPr>
        <w:pStyle w:val="FirstParagraph"/>
      </w:pPr>
      <w:r>
        <w:t xml:space="preserve">Patient safety is a top priority in any medical practice. The Ophthalmologist implements robust safety measures, including regular equipment maintenance, infection control protocols, and emergency preparedness plans. These efforts contribute to a safe environment for patients receiving care in Australia Melbourne.</w:t>
      </w:r>
    </w:p>
    <w:bookmarkEnd w:id="31"/>
    <w:bookmarkStart w:id="32" w:name="accessibility-and-timeliness"/>
    <w:p>
      <w:pPr>
        <w:pStyle w:val="Heading3"/>
      </w:pPr>
      <w:r>
        <w:t xml:space="preserve">5.2 Accessibility and Timeliness</w:t>
      </w:r>
    </w:p>
    <w:p>
      <w:pPr>
        <w:pStyle w:val="FirstParagraph"/>
      </w:pPr>
      <w:r>
        <w:t xml:space="preserve">Accessibility to care is critical, especially for patients with urgent eye conditions. The Ophthalmologist ensures timely appointments and follow-ups, minimizing wait times and reducing the risk of disease progression. This commitment to accessibility is particularly commendable given the high demand for ophthalmic services in Australia Melbourne.</w:t>
      </w:r>
    </w:p>
    <w:bookmarkEnd w:id="32"/>
    <w:bookmarkStart w:id="33" w:name="patient-satisfaction"/>
    <w:p>
      <w:pPr>
        <w:pStyle w:val="Heading3"/>
      </w:pPr>
      <w:r>
        <w:t xml:space="preserve">5.3 Patient Satisfaction</w:t>
      </w:r>
    </w:p>
    <w:p>
      <w:pPr>
        <w:pStyle w:val="FirstParagraph"/>
      </w:pPr>
      <w:r>
        <w:t xml:space="preserve">Patient satisfaction surveys indicate a high level of satisfaction with the care provided. Patients appreciate the Ophthalmologist's attentiveness, expertise, and compassionate approach. Positive feedback highlights the importance of building trust and rapport with patients, which is essential for long-term health outcomes.</w:t>
      </w:r>
    </w:p>
    <w:bookmarkEnd w:id="33"/>
    <w:bookmarkEnd w:id="34"/>
    <w:bookmarkStart w:id="35" w:name="areas-for-improvement"/>
    <w:p>
      <w:pPr>
        <w:pStyle w:val="Heading2"/>
      </w:pPr>
      <w:r>
        <w:t xml:space="preserve">6. Areas for Improvement</w:t>
      </w:r>
    </w:p>
    <w:p>
      <w:pPr>
        <w:pStyle w:val="FirstParagraph"/>
      </w:pPr>
      <w:r>
        <w:t xml:space="preserve">While the overall performance of the Ophthalmologist is commendable, there are areas where further improvement could enhance the quality of care:</w:t>
      </w:r>
    </w:p>
    <w:p>
      <w:pPr>
        <w:numPr>
          <w:ilvl w:val="0"/>
          <w:numId w:val="1001"/>
        </w:numPr>
        <w:pStyle w:val="Compact"/>
      </w:pPr>
      <w:r>
        <w:t xml:space="preserve">Incorporating more digital health tools to streamline patient communication and record-keeping.</w:t>
      </w:r>
    </w:p>
    <w:p>
      <w:pPr>
        <w:numPr>
          <w:ilvl w:val="0"/>
          <w:numId w:val="1001"/>
        </w:numPr>
        <w:pStyle w:val="Compact"/>
      </w:pPr>
      <w:r>
        <w:t xml:space="preserve">Expanding outreach programs to underserved communities in Australia Melbourne.</w:t>
      </w:r>
    </w:p>
    <w:p>
      <w:pPr>
        <w:numPr>
          <w:ilvl w:val="0"/>
          <w:numId w:val="1001"/>
        </w:numPr>
        <w:pStyle w:val="Compact"/>
      </w:pPr>
      <w:r>
        <w:t xml:space="preserve">Continuing professional development in emerging technologies and treatments in ophthalmology.</w:t>
      </w:r>
    </w:p>
    <w:bookmarkEnd w:id="35"/>
    <w:bookmarkStart w:id="36" w:name="conclusion"/>
    <w:p>
      <w:pPr>
        <w:pStyle w:val="Heading2"/>
      </w:pPr>
      <w:r>
        <w:t xml:space="preserve">7. Conclusion</w:t>
      </w:r>
    </w:p>
    <w:p>
      <w:pPr>
        <w:pStyle w:val="FirstParagraph"/>
      </w:pPr>
      <w:r>
        <w:t xml:space="preserve">In conclusion, this Peer Review Report confirms that the Ophthalmologist practicing in Australia Melbourne meets and often exceeds the expected standards of clinical practice, professional conduct, and patient care. The dedication to excellence and continuous improvement is evident in all aspects of their work. It is recommended that the Ophthalmologist continue to uphold these high standards and consider the suggested areas for improvement to further enhance their practice.</w:t>
      </w:r>
    </w:p>
    <w:bookmarkEnd w:id="36"/>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Australia Melbourne</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