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of Ophthalmologist</w:t>
      </w:r>
    </w:p>
    <w:p>
      <w:pPr>
        <w:pStyle w:val="BodyText"/>
      </w:pPr>
      <w:r>
        <w:rPr>
          <w:bCs/>
          <w:b/>
        </w:rPr>
        <w:t xml:space="preserve">Location:</w:t>
      </w:r>
      <w:r>
        <w:t xml:space="preserve"> </w:t>
      </w:r>
      <w:r>
        <w:t xml:space="preserve">Bangladesh Dhaka</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performance, professional conduct, and overall competence of an Ophthalmologist practicing in Bangladesh Dhaka. The purpose of this review is to ensure that the highest standards of patient care, medical ethics, and clinical excellence are maintained within the ophthalmic healthcare sector in Dhaka, Bangladesh. This report is based on a comprehensive assessment of clinical practices, patient outcomes, peer feedback, and adherence to national and international ophthalmic guidelines.</w:t>
      </w:r>
    </w:p>
    <w:bookmarkEnd w:id="21"/>
    <w:bookmarkStart w:id="22" w:name="background-and-context"/>
    <w:p>
      <w:pPr>
        <w:pStyle w:val="Heading2"/>
      </w:pPr>
      <w:r>
        <w:t xml:space="preserve">2. Background and Context</w:t>
      </w:r>
    </w:p>
    <w:p>
      <w:pPr>
        <w:pStyle w:val="FirstParagraph"/>
      </w:pPr>
      <w:r>
        <w:t xml:space="preserve">The field of ophthalmology in Bangladesh Dhaka has seen significant advancements in recent years, with increased access to specialized eye care services, modern diagnostic tools, and surgical techniques. However, the growing demand for high-quality eye care necessitates rigorous peer review processes to maintain and improve standards. This report focuses on an Ophthalmologist who has been practicing in a leading hospital in Dhaka, Bangladesh, and is involved in both clinical practice and academic activities.</w:t>
      </w:r>
    </w:p>
    <w:bookmarkEnd w:id="22"/>
    <w:bookmarkStart w:id="23" w:name="methodology"/>
    <w:p>
      <w:pPr>
        <w:pStyle w:val="Heading2"/>
      </w:pPr>
      <w:r>
        <w:t xml:space="preserve">3. Methodology</w:t>
      </w:r>
    </w:p>
    <w:p>
      <w:pPr>
        <w:pStyle w:val="FirstParagraph"/>
      </w:pPr>
      <w:r>
        <w:t xml:space="preserve">The peer review process involved multiple components to ensure a thorough and unbiased evaluation:</w:t>
      </w:r>
    </w:p>
    <w:p>
      <w:pPr>
        <w:numPr>
          <w:ilvl w:val="0"/>
          <w:numId w:val="1001"/>
        </w:numPr>
        <w:pStyle w:val="Compact"/>
      </w:pPr>
      <w:r>
        <w:rPr>
          <w:bCs/>
          <w:b/>
        </w:rPr>
        <w:t xml:space="preserve">Clinical Case Review:</w:t>
      </w:r>
      <w:r>
        <w:t xml:space="preserve"> </w:t>
      </w:r>
      <w:r>
        <w:t xml:space="preserve">A sample of 50 patient cases was reviewed, including both routine and complex ophthalmic conditions.</w:t>
      </w:r>
    </w:p>
    <w:p>
      <w:pPr>
        <w:numPr>
          <w:ilvl w:val="0"/>
          <w:numId w:val="1001"/>
        </w:numPr>
        <w:pStyle w:val="Compact"/>
      </w:pPr>
      <w:r>
        <w:rPr>
          <w:bCs/>
          <w:b/>
        </w:rPr>
        <w:t xml:space="preserve">Patient Feedback:</w:t>
      </w:r>
      <w:r>
        <w:t xml:space="preserve"> </w:t>
      </w:r>
      <w:r>
        <w:t xml:space="preserve">Anonymous surveys were conducted to gather patient perspectives on the quality of care received.</w:t>
      </w:r>
    </w:p>
    <w:p>
      <w:pPr>
        <w:numPr>
          <w:ilvl w:val="0"/>
          <w:numId w:val="1001"/>
        </w:numPr>
        <w:pStyle w:val="Compact"/>
      </w:pPr>
      <w:r>
        <w:rPr>
          <w:bCs/>
          <w:b/>
        </w:rPr>
        <w:t xml:space="preserve">Peer Interviews:</w:t>
      </w:r>
      <w:r>
        <w:t xml:space="preserve"> </w:t>
      </w:r>
      <w:r>
        <w:t xml:space="preserve">Structured interviews were conducted with colleagues, including other Ophthalmologists, nurses, and allied health professionals.</w:t>
      </w:r>
    </w:p>
    <w:p>
      <w:pPr>
        <w:numPr>
          <w:ilvl w:val="0"/>
          <w:numId w:val="1001"/>
        </w:numPr>
        <w:pStyle w:val="Compact"/>
      </w:pPr>
      <w:r>
        <w:rPr>
          <w:bCs/>
          <w:b/>
        </w:rPr>
        <w:t xml:space="preserve">Documentation Audit:</w:t>
      </w:r>
      <w:r>
        <w:t xml:space="preserve"> </w:t>
      </w:r>
      <w:r>
        <w:t xml:space="preserve">Medical records, surgical logs, and referral patterns were audited for completeness and accuracy.</w:t>
      </w:r>
    </w:p>
    <w:p>
      <w:pPr>
        <w:numPr>
          <w:ilvl w:val="0"/>
          <w:numId w:val="1001"/>
        </w:numPr>
        <w:pStyle w:val="Compact"/>
      </w:pPr>
      <w:r>
        <w:rPr>
          <w:bCs/>
          <w:b/>
        </w:rPr>
        <w:t xml:space="preserve">Adherence to Guidelines:</w:t>
      </w:r>
      <w:r>
        <w:t xml:space="preserve"> </w:t>
      </w:r>
      <w:r>
        <w:t xml:space="preserve">The Ophthalmologist’s practices were compared against national guidelines from the Bangladesh Medical and Dental Council (BMDC) and international standards from organizations such as the World Health Organization (WHO).</w:t>
      </w:r>
    </w:p>
    <w:bookmarkEnd w:id="23"/>
    <w:bookmarkStart w:id="24" w:name="clinical-competence"/>
    <w:p>
      <w:pPr>
        <w:pStyle w:val="Heading2"/>
      </w:pPr>
      <w:r>
        <w:t xml:space="preserve">4. Clinical Competence</w:t>
      </w:r>
    </w:p>
    <w:p>
      <w:pPr>
        <w:pStyle w:val="FirstParagraph"/>
      </w:pPr>
      <w:r>
        <w:t xml:space="preserve">The Ophthalmologist demonstrated a high level of clinical competence in diagnosing and managing a wide range of eye conditions, including cataracts, glaucoma, diabetic retinopathy, and corneal diseases. The review found that:</w:t>
      </w:r>
    </w:p>
    <w:p>
      <w:pPr>
        <w:numPr>
          <w:ilvl w:val="0"/>
          <w:numId w:val="1002"/>
        </w:numPr>
        <w:pStyle w:val="Compact"/>
      </w:pPr>
      <w:r>
        <w:rPr>
          <w:bCs/>
          <w:b/>
        </w:rPr>
        <w:t xml:space="preserve">Diagnostic Accuracy:</w:t>
      </w:r>
      <w:r>
        <w:t xml:space="preserve"> </w:t>
      </w:r>
      <w:r>
        <w:t xml:space="preserve">The Ophthalmologist consistently used appropriate diagnostic tools, such as slit-lamp examinations, tonometry, and optical coherence tomography (OCT), to ensure accurate diagnoses.</w:t>
      </w:r>
    </w:p>
    <w:p>
      <w:pPr>
        <w:numPr>
          <w:ilvl w:val="0"/>
          <w:numId w:val="1002"/>
        </w:numPr>
        <w:pStyle w:val="Compact"/>
      </w:pPr>
      <w:r>
        <w:rPr>
          <w:bCs/>
          <w:b/>
        </w:rPr>
        <w:t xml:space="preserve">Treatment Planning:</w:t>
      </w:r>
      <w:r>
        <w:t xml:space="preserve"> </w:t>
      </w:r>
      <w:r>
        <w:t xml:space="preserve">Treatment plans were evidence-based, individualized, and aligned with current clinical guidelines. The Ophthalmologist showed particular expertise in managing complex cases, such as advanced glaucoma and retinal detachments.</w:t>
      </w:r>
    </w:p>
    <w:p>
      <w:pPr>
        <w:numPr>
          <w:ilvl w:val="0"/>
          <w:numId w:val="1002"/>
        </w:numPr>
        <w:pStyle w:val="Compact"/>
      </w:pPr>
      <w:r>
        <w:rPr>
          <w:bCs/>
          <w:b/>
        </w:rPr>
        <w:t xml:space="preserve">Surgical Skills:</w:t>
      </w:r>
      <w:r>
        <w:t xml:space="preserve"> </w:t>
      </w:r>
      <w:r>
        <w:t xml:space="preserve">Surgical outcomes were excellent, with low complication rates and high patient satisfaction. The Ophthalmologist’s proficiency in phacoemulsification, trabeculectomy, and vitrectomy was noted.</w:t>
      </w:r>
    </w:p>
    <w:bookmarkEnd w:id="24"/>
    <w:bookmarkStart w:id="25" w:name="patient-care-and-communication"/>
    <w:p>
      <w:pPr>
        <w:pStyle w:val="Heading2"/>
      </w:pPr>
      <w:r>
        <w:t xml:space="preserve">5. Patient Care and Communication</w:t>
      </w:r>
    </w:p>
    <w:p>
      <w:pPr>
        <w:pStyle w:val="FirstParagraph"/>
      </w:pPr>
      <w:r>
        <w:t xml:space="preserve">Patient care and communication are critical aspects of ophthalmic practice, especially in a diverse and multicultural setting like Bangladesh Dhaka. The review found that:</w:t>
      </w:r>
    </w:p>
    <w:p>
      <w:pPr>
        <w:numPr>
          <w:ilvl w:val="0"/>
          <w:numId w:val="1003"/>
        </w:numPr>
        <w:pStyle w:val="Compact"/>
      </w:pPr>
      <w:r>
        <w:rPr>
          <w:bCs/>
          <w:b/>
        </w:rPr>
        <w:t xml:space="preserve">Patient-Centered Care:</w:t>
      </w:r>
      <w:r>
        <w:t xml:space="preserve"> </w:t>
      </w:r>
      <w:r>
        <w:t xml:space="preserve">The Ophthalmologist consistently demonstrated empathy, respect, and cultural sensitivity when interacting with patients. Efforts were made to explain conditions and treatment options in clear, understandable language.</w:t>
      </w:r>
    </w:p>
    <w:p>
      <w:pPr>
        <w:numPr>
          <w:ilvl w:val="0"/>
          <w:numId w:val="1003"/>
        </w:numPr>
        <w:pStyle w:val="Compact"/>
      </w:pPr>
      <w:r>
        <w:rPr>
          <w:bCs/>
          <w:b/>
        </w:rPr>
        <w:t xml:space="preserve">Informed Consent:</w:t>
      </w:r>
      <w:r>
        <w:t xml:space="preserve"> </w:t>
      </w:r>
      <w:r>
        <w:t xml:space="preserve">The process of obtaining informed consent was thorough, with patients provided with detailed information about risks, benefits, and alternatives.</w:t>
      </w:r>
    </w:p>
    <w:p>
      <w:pPr>
        <w:numPr>
          <w:ilvl w:val="0"/>
          <w:numId w:val="1003"/>
        </w:numPr>
        <w:pStyle w:val="Compact"/>
      </w:pPr>
      <w:r>
        <w:rPr>
          <w:bCs/>
          <w:b/>
        </w:rPr>
        <w:t xml:space="preserve">Follow-Up Care:</w:t>
      </w:r>
      <w:r>
        <w:t xml:space="preserve"> </w:t>
      </w:r>
      <w:r>
        <w:t xml:space="preserve">The Ophthalmologist ensured regular follow-up appointments and provided clear instructions for post-operative care, which contributed to positive patient outcomes.</w:t>
      </w:r>
    </w:p>
    <w:bookmarkEnd w:id="25"/>
    <w:bookmarkStart w:id="26" w:name="professional-conduct-and-ethics"/>
    <w:p>
      <w:pPr>
        <w:pStyle w:val="Heading2"/>
      </w:pPr>
      <w:r>
        <w:t xml:space="preserve">6. Professional Conduct and Ethics</w:t>
      </w:r>
    </w:p>
    <w:p>
      <w:pPr>
        <w:pStyle w:val="FirstParagraph"/>
      </w:pPr>
      <w:r>
        <w:t xml:space="preserve">The Ophthalmologist adhered to the highest standards of professional conduct and medical ethics. Key observations include:</w:t>
      </w:r>
    </w:p>
    <w:p>
      <w:pPr>
        <w:numPr>
          <w:ilvl w:val="0"/>
          <w:numId w:val="1004"/>
        </w:numPr>
        <w:pStyle w:val="Compact"/>
      </w:pPr>
      <w:r>
        <w:rPr>
          <w:bCs/>
          <w:b/>
        </w:rPr>
        <w:t xml:space="preserve">Confidentiality:</w:t>
      </w:r>
      <w:r>
        <w:t xml:space="preserve"> </w:t>
      </w:r>
      <w:r>
        <w:t xml:space="preserve">Patient confidentiality was strictly maintained, in accordance with BMDC regulations.</w:t>
      </w:r>
    </w:p>
    <w:p>
      <w:pPr>
        <w:numPr>
          <w:ilvl w:val="0"/>
          <w:numId w:val="1004"/>
        </w:numPr>
        <w:pStyle w:val="Compact"/>
      </w:pPr>
      <w:r>
        <w:rPr>
          <w:bCs/>
          <w:b/>
        </w:rPr>
        <w:t xml:space="preserve">Collaboration:</w:t>
      </w:r>
      <w:r>
        <w:t xml:space="preserve"> </w:t>
      </w:r>
      <w:r>
        <w:t xml:space="preserve">The Ophthalmologist worked collaboratively with other healthcare professionals, including optometrists, nurses, and general practitioners, to provide comprehensive care.</w:t>
      </w:r>
    </w:p>
    <w:p>
      <w:pPr>
        <w:numPr>
          <w:ilvl w:val="0"/>
          <w:numId w:val="1004"/>
        </w:numPr>
        <w:pStyle w:val="Compact"/>
      </w:pPr>
      <w:r>
        <w:rPr>
          <w:bCs/>
          <w:b/>
        </w:rPr>
        <w:t xml:space="preserve">Continuing Education:</w:t>
      </w:r>
      <w:r>
        <w:t xml:space="preserve"> </w:t>
      </w:r>
      <w:r>
        <w:t xml:space="preserve">The Ophthalmologist actively participated in continuing medical education (CME) programs, conferences, and workshops to stay updated with the latest advancements in ophthalmology.</w:t>
      </w:r>
    </w:p>
    <w:bookmarkEnd w:id="26"/>
    <w:bookmarkStart w:id="27" w:name="areas-for-improvement"/>
    <w:p>
      <w:pPr>
        <w:pStyle w:val="Heading2"/>
      </w:pPr>
      <w:r>
        <w:t xml:space="preserve">7. Areas for Improvement</w:t>
      </w:r>
    </w:p>
    <w:p>
      <w:pPr>
        <w:pStyle w:val="FirstParagraph"/>
      </w:pPr>
      <w:r>
        <w:t xml:space="preserve">While the Ophthalmologist’s performance was largely exemplary, the review identified a few areas for improvement:</w:t>
      </w:r>
    </w:p>
    <w:p>
      <w:pPr>
        <w:numPr>
          <w:ilvl w:val="0"/>
          <w:numId w:val="1005"/>
        </w:numPr>
        <w:pStyle w:val="Compact"/>
      </w:pPr>
      <w:r>
        <w:rPr>
          <w:bCs/>
          <w:b/>
        </w:rPr>
        <w:t xml:space="preserve">Documentation:</w:t>
      </w:r>
      <w:r>
        <w:t xml:space="preserve"> </w:t>
      </w:r>
      <w:r>
        <w:t xml:space="preserve">Some medical records lacked detailed documentation of patient education and counseling sessions. It is recommended that the Ophthalmologist enhance record-keeping practices to ensure completeness.</w:t>
      </w:r>
    </w:p>
    <w:p>
      <w:pPr>
        <w:numPr>
          <w:ilvl w:val="0"/>
          <w:numId w:val="1005"/>
        </w:numPr>
        <w:pStyle w:val="Compact"/>
      </w:pPr>
      <w:r>
        <w:rPr>
          <w:bCs/>
          <w:b/>
        </w:rPr>
        <w:t xml:space="preserve">Referral Patterns:</w:t>
      </w:r>
      <w:r>
        <w:t xml:space="preserve"> </w:t>
      </w:r>
      <w:r>
        <w:t xml:space="preserve">In a few cases, referrals to other specialists were delayed. Timely referrals are crucial for managing complex conditions, and the Ophthalmologist should prioritize this aspect of care.</w:t>
      </w:r>
    </w:p>
    <w:p>
      <w:pPr>
        <w:numPr>
          <w:ilvl w:val="0"/>
          <w:numId w:val="1005"/>
        </w:numPr>
        <w:pStyle w:val="Compact"/>
      </w:pPr>
      <w:r>
        <w:rPr>
          <w:bCs/>
          <w:b/>
        </w:rPr>
        <w:t xml:space="preserve">Research and Publication:</w:t>
      </w:r>
      <w:r>
        <w:t xml:space="preserve"> </w:t>
      </w:r>
      <w:r>
        <w:t xml:space="preserve">While the Ophthalmologist is clinically proficient, there is an opportunity to contribute more to the field through research and publications, which would benefit the ophthalmic community in Bangladesh Dhaka.</w:t>
      </w:r>
    </w:p>
    <w:bookmarkEnd w:id="27"/>
    <w:bookmarkStart w:id="28" w:name="conclusion"/>
    <w:p>
      <w:pPr>
        <w:pStyle w:val="Heading2"/>
      </w:pPr>
      <w:r>
        <w:t xml:space="preserve">8. Conclusion</w:t>
      </w:r>
    </w:p>
    <w:p>
      <w:pPr>
        <w:pStyle w:val="FirstParagraph"/>
      </w:pPr>
      <w:r>
        <w:t xml:space="preserve">This Peer Review Report concludes that the Ophthalmologist under review is a highly competent and dedicated professional who provides excellent care to patients in Bangladesh Dhaka. The Ophthalmologist’s clinical skills, patient-centered approach, and adherence to ethical standards are commendable. The identified areas for improvement are minor and can be addressed through targeted interventions. Overall, the Ophthalmologist is well-suited to continue practicing at a high level and contributing to the advancement of ophthalmic care in Bangladesh Dhaka.</w:t>
      </w:r>
    </w:p>
    <w:bookmarkEnd w:id="28"/>
    <w:p>
      <w:pPr>
        <w:pStyle w:val="BodyText"/>
      </w:pPr>
      <w:r>
        <w:rPr>
          <w:bCs/>
          <w:b/>
        </w:rPr>
        <w:t xml:space="preserve">Prepared by:</w:t>
      </w:r>
    </w:p>
    <w:p>
      <w:pPr>
        <w:pStyle w:val="BodyText"/>
      </w:pPr>
      <w:r>
        <w:t xml:space="preserve">Dr. [Reviewer’s Name]</w:t>
      </w:r>
    </w:p>
    <w:p>
      <w:pPr>
        <w:pStyle w:val="BodyText"/>
      </w:pPr>
      <w:r>
        <w:t xml:space="preserve">Senior Ophthalmologist</w:t>
      </w:r>
    </w:p>
    <w:p>
      <w:pPr>
        <w:pStyle w:val="BodyText"/>
      </w:pPr>
      <w:r>
        <w:t xml:space="preserve">[Hospital/Institution Name]</w:t>
      </w:r>
    </w:p>
    <w:p>
      <w:pPr>
        <w:pStyle w:val="BodyText"/>
      </w:pPr>
      <w: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Bangladesh Dhaka</dc:title>
  <dc:creator/>
  <dc:language>en</dc:language>
  <cp:keywords/>
  <dcterms:created xsi:type="dcterms:W3CDTF">2026-10-10T04:57:18Z</dcterms:created>
  <dcterms:modified xsi:type="dcterms:W3CDTF">2026-10-10T04:57:18Z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