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Ophthalmologist</w:t>
      </w:r>
      <w:r>
        <w:br/>
      </w:r>
      <w:r>
        <w:rPr>
          <w:bCs/>
          <w:b/>
        </w:rPr>
        <w:t xml:space="preserve">Location:</w:t>
      </w:r>
      <w:r>
        <w:t xml:space="preserve"> </w:t>
      </w:r>
      <w:r>
        <w:t xml:space="preserve">Canada Vancouver</w:t>
      </w:r>
      <w:r>
        <w:br/>
      </w: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clinical competence, and adherence to ethical standards of an Ophthalmologist practicing in Canada Vancouver. The purpose of this review is to ensure that the highest standards of patient care are maintained within the ophthalmology specialty, aligning with the guidelines set forth by the College of Physicians and Surgeons of British Columbia (CPSBC) and other relevant regulatory bodies.</w:t>
      </w:r>
    </w:p>
    <w:p>
      <w:pPr>
        <w:pStyle w:val="BodyText"/>
      </w:pPr>
      <w:r>
        <w:t xml:space="preserve">The review process involves a comprehensive assessment of the Ophthalmologist's medical records, patient outcomes, peer feedback, and compliance with established protocols. This document aims to provide a detailed analysis of the Ophthalmologist's practice, highlighting areas of strength and opportunities for improvement.</w:t>
      </w:r>
    </w:p>
    <w:bookmarkEnd w:id="21"/>
    <w:bookmarkStart w:id="22" w:name="scope-of-the-review"/>
    <w:p>
      <w:pPr>
        <w:pStyle w:val="Heading2"/>
      </w:pPr>
      <w:r>
        <w:t xml:space="preserve">Scope of the Review</w:t>
      </w:r>
    </w:p>
    <w:p>
      <w:pPr>
        <w:pStyle w:val="FirstParagraph"/>
      </w:pPr>
      <w:r>
        <w:t xml:space="preserve">The scope of this Peer Review Report encompasses the following key areas:</w:t>
      </w:r>
    </w:p>
    <w:p>
      <w:pPr>
        <w:numPr>
          <w:ilvl w:val="0"/>
          <w:numId w:val="1001"/>
        </w:numPr>
        <w:pStyle w:val="Compact"/>
      </w:pPr>
      <w:r>
        <w:rPr>
          <w:bCs/>
          <w:b/>
        </w:rPr>
        <w:t xml:space="preserve">Clinical Competence:</w:t>
      </w:r>
      <w:r>
        <w:t xml:space="preserve"> </w:t>
      </w:r>
      <w:r>
        <w:t xml:space="preserve">Evaluation of diagnostic accuracy, treatment efficacy, and surgical outcomes.</w:t>
      </w:r>
    </w:p>
    <w:p>
      <w:pPr>
        <w:numPr>
          <w:ilvl w:val="0"/>
          <w:numId w:val="1001"/>
        </w:numPr>
        <w:pStyle w:val="Compact"/>
      </w:pPr>
      <w:r>
        <w:rPr>
          <w:bCs/>
          <w:b/>
        </w:rPr>
        <w:t xml:space="preserve">Patient Care:</w:t>
      </w:r>
      <w:r>
        <w:t xml:space="preserve"> </w:t>
      </w:r>
      <w:r>
        <w:t xml:space="preserve">Assessment of patient communication, empathy, and overall satisfaction.</w:t>
      </w:r>
    </w:p>
    <w:p>
      <w:pPr>
        <w:numPr>
          <w:ilvl w:val="0"/>
          <w:numId w:val="1001"/>
        </w:numPr>
        <w:pStyle w:val="Compact"/>
      </w:pPr>
      <w:r>
        <w:rPr>
          <w:bCs/>
          <w:b/>
        </w:rPr>
        <w:t xml:space="preserve">Ethical Standards:</w:t>
      </w:r>
      <w:r>
        <w:t xml:space="preserve"> </w:t>
      </w:r>
      <w:r>
        <w:t xml:space="preserve">Review of adherence to ethical guidelines, including informed consent and confidentiality.</w:t>
      </w:r>
    </w:p>
    <w:p>
      <w:pPr>
        <w:numPr>
          <w:ilvl w:val="0"/>
          <w:numId w:val="1001"/>
        </w:numPr>
        <w:pStyle w:val="Compact"/>
      </w:pPr>
      <w:r>
        <w:rPr>
          <w:bCs/>
          <w:b/>
        </w:rPr>
        <w:t xml:space="preserve">Professional Development:</w:t>
      </w:r>
      <w:r>
        <w:t xml:space="preserve"> </w:t>
      </w:r>
      <w:r>
        <w:t xml:space="preserve">Examination of continuing education and participation in professional activities.</w:t>
      </w:r>
    </w:p>
    <w:p>
      <w:pPr>
        <w:numPr>
          <w:ilvl w:val="0"/>
          <w:numId w:val="1001"/>
        </w:numPr>
        <w:pStyle w:val="Compact"/>
      </w:pPr>
      <w:r>
        <w:rPr>
          <w:bCs/>
          <w:b/>
        </w:rPr>
        <w:t xml:space="preserve">Regulatory Compliance:</w:t>
      </w:r>
      <w:r>
        <w:t xml:space="preserve"> </w:t>
      </w:r>
      <w:r>
        <w:t xml:space="preserve">Verification of compliance with CPSBC regulations and local healthcare policies in Canada Vancouver.</w:t>
      </w:r>
    </w:p>
    <w:bookmarkEnd w:id="22"/>
    <w:bookmarkStart w:id="23" w:name="clinical-competence"/>
    <w:p>
      <w:pPr>
        <w:pStyle w:val="Heading2"/>
      </w:pPr>
      <w:r>
        <w:t xml:space="preserve">Clinical Competence</w:t>
      </w:r>
    </w:p>
    <w:p>
      <w:pPr>
        <w:pStyle w:val="FirstParagraph"/>
      </w:pPr>
      <w:r>
        <w:t xml:space="preserve">The Ophthalmologist's clinical competence was assessed through a thorough review of medical records, surgical logs, and patient outcomes. The review found that the Ophthalmologist demonstrates a high level of expertise in diagnosing and treating a wide range of ophthalmic conditions, including cataracts, glaucoma, macular degeneration, and retinal disorders.</w:t>
      </w:r>
    </w:p>
    <w:p>
      <w:pPr>
        <w:pStyle w:val="BodyText"/>
      </w:pPr>
      <w:r>
        <w:t xml:space="preserve">Surgical outcomes were analyzed, revealing a success rate that meets or exceeds national benchmarks. The Ophthalmologist's proficiency in advanced surgical techniques, such as femtosecond laser-assisted cataract surgery and vitreoretinal procedures, was noted as a significant strength. Additionally, the Ophthalmologist's ability to manage complex cases and provide timely interventions was commended.</w:t>
      </w:r>
    </w:p>
    <w:bookmarkEnd w:id="23"/>
    <w:bookmarkStart w:id="24" w:name="patient-care"/>
    <w:p>
      <w:pPr>
        <w:pStyle w:val="Heading2"/>
      </w:pPr>
      <w:r>
        <w:t xml:space="preserve">Patient Care</w:t>
      </w:r>
    </w:p>
    <w:p>
      <w:pPr>
        <w:pStyle w:val="FirstParagraph"/>
      </w:pPr>
      <w:r>
        <w:t xml:space="preserve">Patient care is a critical component of the Ophthalmologist's practice. The review included patient surveys and feedback from colleagues to assess the quality of care provided. Patients consistently praised the Ophthalmologist for their clear communication, attentiveness, and compassionate approach. The Ophthalmologist's ability to explain complex medical information in an understandable manner was highlighted as a key factor in patient satisfaction.</w:t>
      </w:r>
    </w:p>
    <w:p>
      <w:pPr>
        <w:pStyle w:val="BodyText"/>
      </w:pPr>
      <w:r>
        <w:t xml:space="preserve">Furthermore, the Ophthalmologist's commitment to patient-centered care was evident in their willingness to address patient concerns and involve them in decision-making processes. This approach not only enhances patient trust but also contributes to better health outcomes.</w:t>
      </w:r>
    </w:p>
    <w:bookmarkEnd w:id="24"/>
    <w:bookmarkStart w:id="25" w:name="ethical-standards"/>
    <w:p>
      <w:pPr>
        <w:pStyle w:val="Heading2"/>
      </w:pPr>
      <w:r>
        <w:t xml:space="preserve">Ethical Standards</w:t>
      </w:r>
    </w:p>
    <w:p>
      <w:pPr>
        <w:pStyle w:val="FirstParagraph"/>
      </w:pPr>
      <w:r>
        <w:t xml:space="preserve">Adherence to ethical standards is paramount in the practice of medicine. The review examined the Ophthalmologist's compliance with ethical guidelines, including informed consent, confidentiality, and conflict of interest policies. The Ophthalmologist was found to consistently obtain informed consent from patients, ensuring that they are fully aware of the risks, benefits, and alternatives of proposed treatments.</w:t>
      </w:r>
    </w:p>
    <w:p>
      <w:pPr>
        <w:pStyle w:val="BodyText"/>
      </w:pPr>
      <w:r>
        <w:t xml:space="preserve">Confidentiality was maintained at all times, with no instances of unauthorized disclosure of patient information. The Ophthalmologist's transparency regarding potential conflicts of interest, such as relationships with pharmaceutical companies or medical device manufacturers, was also noted as a positive aspect of their practice.</w:t>
      </w:r>
    </w:p>
    <w:bookmarkEnd w:id="25"/>
    <w:bookmarkStart w:id="26" w:name="professional-development"/>
    <w:p>
      <w:pPr>
        <w:pStyle w:val="Heading2"/>
      </w:pPr>
      <w:r>
        <w:t xml:space="preserve">Professional Development</w:t>
      </w:r>
    </w:p>
    <w:p>
      <w:pPr>
        <w:pStyle w:val="FirstParagraph"/>
      </w:pPr>
      <w:r>
        <w:t xml:space="preserve">Continuous professional development is essential for maintaining clinical competence and staying abreast of advancements in the field of ophthalmology. The review assessed the Ophthalmologist's participation in continuing education activities, including conferences, workshops, and research projects.</w:t>
      </w:r>
    </w:p>
    <w:p>
      <w:pPr>
        <w:pStyle w:val="BodyText"/>
      </w:pPr>
      <w:r>
        <w:t xml:space="preserve">The Ophthalmologist has actively engaged in professional development, attending numerous conferences and workshops in Canada Vancouver and beyond. Their contributions to research and publication in peer-reviewed journals further demonstrate their commitment to advancing the field of ophthalmology. This dedication to lifelong learning is a testament to their professionalism and dedication to providing the best possible care to their patients.</w:t>
      </w:r>
    </w:p>
    <w:bookmarkEnd w:id="26"/>
    <w:bookmarkStart w:id="27" w:name="regulatory-compliance"/>
    <w:p>
      <w:pPr>
        <w:pStyle w:val="Heading2"/>
      </w:pPr>
      <w:r>
        <w:t xml:space="preserve">Regulatory Compliance</w:t>
      </w:r>
    </w:p>
    <w:p>
      <w:pPr>
        <w:pStyle w:val="FirstParagraph"/>
      </w:pPr>
      <w:r>
        <w:t xml:space="preserve">Compliance with regulatory requirements is a fundamental aspect of medical practice. The review verified the Ophthalmologist's adherence to CPSBC regulations and local healthcare policies in Canada Vancouver. The Ophthalmologist was found to be in full compliance with all relevant regulations, including licensing requirements, infection control protocols, and documentation standards.</w:t>
      </w:r>
    </w:p>
    <w:p>
      <w:pPr>
        <w:pStyle w:val="BodyText"/>
      </w:pPr>
      <w:r>
        <w:t xml:space="preserve">The Ophthalmologist's practice environment was also assessed, ensuring that it meets the necessary safety and hygiene standards. No violations or deficiencies were identified during the review.</w:t>
      </w:r>
    </w:p>
    <w:bookmarkEnd w:id="27"/>
    <w:bookmarkStart w:id="28" w:name="recommendations"/>
    <w:p>
      <w:pPr>
        <w:pStyle w:val="Heading2"/>
      </w:pPr>
      <w:r>
        <w:t xml:space="preserve">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maintain high standards of clinical competence and patient care.</w:t>
      </w:r>
    </w:p>
    <w:p>
      <w:pPr>
        <w:numPr>
          <w:ilvl w:val="0"/>
          <w:numId w:val="1002"/>
        </w:numPr>
        <w:pStyle w:val="Compact"/>
      </w:pPr>
      <w:r>
        <w:t xml:space="preserve">Explore opportunities for further professional development, particularly in emerging areas of ophthalmology.</w:t>
      </w:r>
    </w:p>
    <w:p>
      <w:pPr>
        <w:numPr>
          <w:ilvl w:val="0"/>
          <w:numId w:val="1002"/>
        </w:numPr>
        <w:pStyle w:val="Compact"/>
      </w:pPr>
      <w:r>
        <w:t xml:space="preserve">Consider implementing additional patient education resources to enhance patient understanding and engagement.</w:t>
      </w:r>
    </w:p>
    <w:p>
      <w:pPr>
        <w:numPr>
          <w:ilvl w:val="0"/>
          <w:numId w:val="1002"/>
        </w:numPr>
        <w:pStyle w:val="Compact"/>
      </w:pPr>
      <w:r>
        <w:t xml:space="preserve">Regularly review and update practice protocols to ensure alignment with the latest evidence-based guidelines.</w:t>
      </w:r>
    </w:p>
    <w:bookmarkEnd w:id="28"/>
    <w:bookmarkStart w:id="29" w:name="conclusion"/>
    <w:p>
      <w:pPr>
        <w:pStyle w:val="Heading2"/>
      </w:pPr>
      <w:r>
        <w:t xml:space="preserve">Conclusion</w:t>
      </w:r>
    </w:p>
    <w:p>
      <w:pPr>
        <w:pStyle w:val="FirstParagraph"/>
      </w:pPr>
      <w:r>
        <w:t xml:space="preserve">In conclusion, this Peer Review Report confirms that the Ophthalmologist practicing in Canada Vancouver demonstrates exceptional clinical competence, patient care, ethical standards, and regulatory compliance. Their dedication to professional development and commitment to advancing the field of ophthalmology are commendable. The recommendations provided aim to support the Ophthalmologist in maintaining and enhancing the quality of care they provide to their patients.</w:t>
      </w:r>
    </w:p>
    <w:bookmarkEnd w:id="29"/>
    <w:p>
      <w:pPr>
        <w:pStyle w:val="BodyText"/>
      </w:pPr>
      <w:r>
        <w:rPr>
          <w:bCs/>
          <w:b/>
        </w:rPr>
        <w:t xml:space="preserve">Prepared by:</w:t>
      </w:r>
      <w:r>
        <w:br/>
      </w:r>
      <w:r>
        <w:t xml:space="preserve">[Reviewer's Name]</w:t>
      </w:r>
      <w:r>
        <w:br/>
      </w:r>
      <w:r>
        <w:t xml:space="preserve">[Reviewer's Title]</w:t>
      </w:r>
      <w:r>
        <w:br/>
      </w:r>
      <w:r>
        <w:t xml:space="preserve">[Organization]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Canada Vancouver</dc:title>
  <dc:creator/>
  <dc:language>en</dc:language>
  <cp:keywords/>
  <dcterms:created xsi:type="dcterms:W3CDTF">2026-10-10T04:18:12Z</dcterms:created>
  <dcterms:modified xsi:type="dcterms:W3CDTF">2026-10-10T04:18:12Z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