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Ophthalmology</w:t>
      </w:r>
    </w:p>
    <w:p>
      <w:pPr>
        <w:pStyle w:val="BodyText"/>
      </w:pPr>
      <w:r>
        <w:rPr>
          <w:bCs/>
          <w:b/>
        </w:rPr>
        <w:t xml:space="preserve">Location:</w:t>
      </w:r>
      <w:r>
        <w:t xml:space="preserve"> </w:t>
      </w:r>
      <w:r>
        <w:t xml:space="preserve">China Guangzhou</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diagnostic accuracy, and surgical proficiency of a practicing Ophthalmologist within the healthcare ecosystem of China Guangzhou. Guangzhou, as a major metropolitan hub in the Pearl River Delta, hosts a complex demographic with diverse ocular health needs, ranging from pediatric refractive errors to age-related macular degeneration and diabetic retinopathy. The purpose of this review is to ensure that the practitioner adheres to the highest standards of medical ethics, clinical guidelines, and patient safety protocols established by both international ophthalmological bodies and the National Health Commission of China.</w:t>
      </w:r>
    </w:p>
    <w:bookmarkEnd w:id="21"/>
    <w:bookmarkStart w:id="22" w:name="Xcc94846bc900dafce7465890f1ecd42fe0ff8d0"/>
    <w:p>
      <w:pPr>
        <w:pStyle w:val="Heading2"/>
      </w:pPr>
      <w:r>
        <w:t xml:space="preserve">2. Scope of Practice and Clinical Environment</w:t>
      </w:r>
    </w:p>
    <w:p>
      <w:pPr>
        <w:pStyle w:val="FirstParagraph"/>
      </w:pPr>
      <w:r>
        <w:t xml:space="preserve">The Ophthalmologist under review operates within a high-volume tertiary care facility in China Guangzhou. The clinical environment is characterized by advanced technological integration, including femtosecond laser-assisted cataract surgery systems, optical coherence tomography (OCT), and wide-field retinal imaging. The review assesses the physician's ability to navigate this sophisticated environment while maintaining a patient-centered approach.</w:t>
      </w:r>
    </w:p>
    <w:p>
      <w:pPr>
        <w:pStyle w:val="BodyText"/>
      </w:pPr>
      <w:r>
        <w:t xml:space="preserve">Given the specific epidemiological profile of the region, the Ophthalmologist is expected to demonstrate particular expertise in managing conditions prevalent in the local population. This includes a high incidence of myopia among school-aged children and a growing burden of glaucoma and cataracts among the aging population. The review confirms that the practitioner maintains a comprehensive understanding of these local health trends and adjusts screening protocols accordingly.</w:t>
      </w:r>
    </w:p>
    <w:bookmarkEnd w:id="22"/>
    <w:bookmarkStart w:id="23" w:name="X6f6d8d8ffcf3aa95c70f273d3a05cc874ff8c55"/>
    <w:p>
      <w:pPr>
        <w:pStyle w:val="Heading2"/>
      </w:pPr>
      <w:r>
        <w:t xml:space="preserve">3. Clinical Competency and Diagnostic Accuracy</w:t>
      </w:r>
    </w:p>
    <w:p>
      <w:pPr>
        <w:pStyle w:val="FirstParagraph"/>
      </w:pPr>
      <w:r>
        <w:t xml:space="preserve">A thorough audit of 50 anonymized patient charts was conducted to evaluate diagnostic accuracy. The Ophthalmologist demonstrated exceptional proficiency in utilizing diagnostic imaging to differentiate between complex retinal pathologies. Specifically, the differentiation between wet and dry age-related macular degeneration was handled with precision, ensuring timely administration of anti-VEGF therapies.</w:t>
      </w:r>
    </w:p>
    <w:p>
      <w:pPr>
        <w:pStyle w:val="BodyText"/>
      </w:pPr>
      <w:r>
        <w:t xml:space="preserve">In the realm of anterior segment diseases, the practitioner showed rigorous adherence to protocols for cataract grading and intraocular lens (IOL) power calculation. The review highlights that the Ophthalmologist consistently utilizes biometry data effectively, minimizing postoperative refractive surprises. Furthermore, the management of glaucoma suspects in China Guangzhou was found to be proactive, with appropriate use of visual field testing and optic nerve head analysis to detect early neuroretinal rim thinning.</w:t>
      </w:r>
    </w:p>
    <w:bookmarkEnd w:id="23"/>
    <w:bookmarkStart w:id="24" w:name="surgical-proficiency-and-outcomes"/>
    <w:p>
      <w:pPr>
        <w:pStyle w:val="Heading2"/>
      </w:pPr>
      <w:r>
        <w:t xml:space="preserve">4. Surgical Proficiency and Outcomes</w:t>
      </w:r>
    </w:p>
    <w:p>
      <w:pPr>
        <w:pStyle w:val="FirstParagraph"/>
      </w:pPr>
      <w:r>
        <w:t xml:space="preserve">Surgical performance is a critical component of this Peer Review Report. The Ophthalmologist performs a high volume of phacoemulsification procedures, corneal refractive surgeries, and vitreoretinal interventions. The review of surgical logs indicates a complication rate significantly lower than the national average for similar procedures in China.</w:t>
      </w:r>
    </w:p>
    <w:p>
      <w:pPr>
        <w:pStyle w:val="BodyText"/>
      </w:pPr>
      <w:r>
        <w:t xml:space="preserve">Particular attention was paid to the management of intraoperative complications. The practitioner demonstrated calm and effective decision-making during instances of posterior capsule rupture, successfully employing techniques to secure the lens implant and preserve visual potential. The use of advanced surgical technology available in Guangzhou's leading hospitals was leveraged effectively to enhance surgical precision and patient recovery times.</w:t>
      </w:r>
    </w:p>
    <w:bookmarkEnd w:id="24"/>
    <w:bookmarkStart w:id="25" w:name="X9b434e901a0ac84b522b8fb291b319de13e2ca3"/>
    <w:p>
      <w:pPr>
        <w:pStyle w:val="Heading2"/>
      </w:pPr>
      <w:r>
        <w:t xml:space="preserve">5. Patient Communication and Cultural Competency</w:t>
      </w:r>
    </w:p>
    <w:p>
      <w:pPr>
        <w:pStyle w:val="FirstParagraph"/>
      </w:pPr>
      <w:r>
        <w:t xml:space="preserve">Effective communication is paramount in the multicultural setting of China Guangzhou. The Ophthalmologist was observed during patient consultations and demonstrated the ability to explain complex ocular conditions in clear, accessible language. The review notes that the practitioner respects cultural nuances regarding family involvement in medical decision-making, which is a significant aspect of healthcare delivery in this region.</w:t>
      </w:r>
    </w:p>
    <w:p>
      <w:pPr>
        <w:pStyle w:val="BodyText"/>
      </w:pPr>
      <w:r>
        <w:t xml:space="preserve">Patient satisfaction surveys reviewed as part of this assessment indicate high levels of trust and confidence in the Ophthalmologist. Patients frequently cited the physician's patience and thoroughness in addressing their concerns regarding vision correction and long-term eye health.</w:t>
      </w:r>
    </w:p>
    <w:bookmarkEnd w:id="25"/>
    <w:bookmarkStart w:id="26" w:name="X90ff44a3b2fe96e4404222c6bc67d7e2b61100f"/>
    <w:p>
      <w:pPr>
        <w:pStyle w:val="Heading2"/>
      </w:pPr>
      <w:r>
        <w:t xml:space="preserve">6. Adherence to Ethical Standards and Regulations</w:t>
      </w:r>
    </w:p>
    <w:p>
      <w:pPr>
        <w:pStyle w:val="FirstParagraph"/>
      </w:pPr>
      <w:r>
        <w:t xml:space="preserve">The review confirms that the Ophthalmologist strictly adheres to the ethical guidelines set forth by the Chinese Medical Association and international ophthalmological standards. There were no instances of conflicts of interest, inappropriate prescribing practices, or breaches of patient confidentiality identified. The practitioner maintains accurate and detailed medical records, ensuring continuity of care and legal compliance within the jurisdiction of China Guangzhou.</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of clinical records, surgical outcomes, and patient feedback, this Peer Review Report concludes that the Ophthalmologist exhibits a high level of professional competence. The practitioner is well-equipped to handle the diverse ophthalmological challenges presented by the population in China Guangzhou.</w:t>
      </w:r>
    </w:p>
    <w:p>
      <w:pPr>
        <w:pStyle w:val="BodyText"/>
      </w:pPr>
      <w:r>
        <w:t xml:space="preserve">It is recommended that the Ophthalmologist continues to engage in continuous medical education, particularly regarding emerging treatments for diabetic retinopathy and pediatric myopia control. Additionally, participation in regional case conferences within the Greater Bay Area is encouraged to foster collaboration and knowledge sharing.</w:t>
      </w:r>
    </w:p>
    <w:p>
      <w:pPr>
        <w:pStyle w:val="BodyText"/>
      </w:pPr>
      <w:r>
        <w:t xml:space="preserve">In summary, the Ophthalmologist meets and exceeds the required standards for practice. This report serves as a formal endorsement of their clinical capabilities and dedication to patient care.</w:t>
      </w:r>
    </w:p>
    <w:bookmarkEnd w:id="27"/>
    <w:p>
      <w:pPr>
        <w:pStyle w:val="BodyText"/>
      </w:pPr>
      <w:r>
        <w:rPr>
          <w:bCs/>
          <w:b/>
        </w:rPr>
        <w:t xml:space="preserve">Reviewed By:</w:t>
      </w:r>
    </w:p>
    <w:p>
      <w:pPr>
        <w:pStyle w:val="BodyText"/>
      </w:pPr>
      <w:r>
        <w:t xml:space="preserve">Dr. [Name Redacted]</w:t>
      </w:r>
    </w:p>
    <w:p>
      <w:pPr>
        <w:pStyle w:val="BodyText"/>
      </w:pPr>
      <w:r>
        <w:t xml:space="preserve">Senior Ophthalmologist &amp; Peer Review Committee Chair</w:t>
      </w:r>
    </w:p>
    <w:p>
      <w:pPr>
        <w:pStyle w:val="BodyText"/>
      </w:pPr>
      <w:r>
        <w:t xml:space="preserve">Guangzhou Medical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Guangzhou, China</dc:title>
  <dc:creator/>
  <dc:language>en</dc:language>
  <cp:keywords/>
  <dcterms:created xsi:type="dcterms:W3CDTF">2026-10-10T03:18:45Z</dcterms:created>
  <dcterms:modified xsi:type="dcterms:W3CDTF">2026-10-10T03:18:45Z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