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Colombia Medellín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clinical competence, and operational practices of a practicing Ophthalmologist within the healthcare system of Colombia Medellín. The purpose of this review is to ensure that the specialist adheres to the highest standards of medical care, aligns with the regulations set forth by the Colombian Ministry of Health and Social Protection (Ministerio de Salud y Protección Social), and maintains the ethical integrity expected of medical professionals in the region.</w:t>
      </w:r>
    </w:p>
    <w:p>
      <w:pPr>
        <w:pStyle w:val="BodyText"/>
      </w:pPr>
      <w:r>
        <w:t xml:space="preserve">Medellín, as a hub for medical tourism and advanced healthcare in Colombia, demands rigorous oversight of its specialists. This report assesses the Ophthalmologist’s ability to manage complex ocular conditions, perform surgical interventions, and provide patient care that meets both local and international benchmarks. The review encompasses an analysis of medical records, surgical outcomes, patient feedback, and compliance with local health protocols.</w:t>
      </w:r>
    </w:p>
    <w:bookmarkEnd w:id="21"/>
    <w:bookmarkStart w:id="22" w:name="X3d07287d57f602e4b7ee5704c1788d724d04352"/>
    <w:p>
      <w:pPr>
        <w:pStyle w:val="Heading2"/>
      </w:pPr>
      <w:r>
        <w:t xml:space="preserve">2. Professional Credentials and Regulatory Compliance</w:t>
      </w:r>
    </w:p>
    <w:p>
      <w:pPr>
        <w:pStyle w:val="FirstParagraph"/>
      </w:pPr>
      <w:r>
        <w:t xml:space="preserve">The initial phase of this Peer Review Report focused on verifying the credentials of the Ophthalmologist. It is confirmed that the specialist holds a valid medical license issued by the relevant Colombian authorities and is registered with the National Medical Board (Consejo Nacional de Medicina). Furthermore, the Ophthalmologist possesses a recognized specialty certification in Ophthalmology, demonstrating advanced training in ocular anatomy, pathology, and surgical techniques.</w:t>
      </w:r>
    </w:p>
    <w:p>
      <w:pPr>
        <w:pStyle w:val="BodyText"/>
      </w:pPr>
      <w:r>
        <w:t xml:space="preserve">In the context of Colombia Medellín, adherence to the "Norma Técnica de Calidad en Salud" is mandatory. The review confirms that the Ophthalmologist operates within a facility that meets these quality standards. The specialist has demonstrated continuous professional development through participation in local medical congresses and international workshops, ensuring that their knowledge base remains current with the latest advancements in ophthalmic care.</w:t>
      </w:r>
    </w:p>
    <w:bookmarkEnd w:id="22"/>
    <w:bookmarkStart w:id="23" w:name="X664ca973285e4caa973352e5023820da41a9047"/>
    <w:p>
      <w:pPr>
        <w:pStyle w:val="Heading2"/>
      </w:pPr>
      <w:r>
        <w:t xml:space="preserve">3. Clinical Competence and Surgical Proficiency</w:t>
      </w:r>
    </w:p>
    <w:p>
      <w:pPr>
        <w:pStyle w:val="FirstParagraph"/>
      </w:pPr>
      <w:r>
        <w:t xml:space="preserve">A critical component of this Peer Review Report is the evaluation of clinical competence. The Ophthalmologist was assessed on their diagnostic accuracy and treatment planning for a wide range of conditions, including cataracts, glaucoma, retinal disorders, and refractive errors. The review of medical charts indicates a systematic approach to diagnosis, utilizing advanced diagnostic tools such as Optical Coherence Tomography (OCT) and fundus photography, which are standard in modern clinics in Colombia Medellín.</w:t>
      </w:r>
    </w:p>
    <w:p>
      <w:pPr>
        <w:pStyle w:val="BodyText"/>
      </w:pPr>
      <w:r>
        <w:t xml:space="preserve">Surgical proficiency was evaluated through a retrospective analysis of recent procedures. The Ophthalmologist demonstrated a high level of technical skill in phacoemulsification and laser-assisted in situ keratomileusis (LASIK). The complication rates observed were within the acceptable range defined by international ophthalmological societies. The specialist’s ability to manage intraoperative challenges and provide appropriate postoperative care reflects a strong commitment to patient safety and successful outcomes.</w:t>
      </w:r>
    </w:p>
    <w:bookmarkEnd w:id="23"/>
    <w:bookmarkStart w:id="24" w:name="patient-care-and-communication"/>
    <w:p>
      <w:pPr>
        <w:pStyle w:val="Heading2"/>
      </w:pPr>
      <w:r>
        <w:t xml:space="preserve">4. Patient Care and Communication</w:t>
      </w:r>
    </w:p>
    <w:p>
      <w:pPr>
        <w:pStyle w:val="FirstParagraph"/>
      </w:pPr>
      <w:r>
        <w:t xml:space="preserve">Effective communication is vital in the practice of an Ophthalmologist, particularly when explaining complex visual conditions and surgical risks. This Peer Review Report highlights the specialist’s ability to communicate clearly and empathetically with patients. Feedback from patient interviews suggests that the Ophthalmologist takes the time to address concerns, obtain informed consent thoroughly, and provide clear postoperative instructions.</w:t>
      </w:r>
    </w:p>
    <w:p>
      <w:pPr>
        <w:pStyle w:val="BodyText"/>
      </w:pPr>
      <w:r>
        <w:t xml:space="preserve">In the diverse cultural environment of Colombia Medellín, the ability to connect with patients from various backgrounds is essential. The Ophthalmologist has shown cultural sensitivity and professionalism, fostering a trusting relationship with patients. This aspect of care is crucial for ensuring patient compliance with treatment plans and follow-up appointments, which directly impacts long-term ocular health.</w:t>
      </w:r>
    </w:p>
    <w:bookmarkEnd w:id="24"/>
    <w:bookmarkStart w:id="25" w:name="X4ce211acb8b02978b825403f312638d11fa1afd"/>
    <w:p>
      <w:pPr>
        <w:pStyle w:val="Heading2"/>
      </w:pPr>
      <w:r>
        <w:t xml:space="preserve">5. Ethical Standards and Professional Conduct</w:t>
      </w:r>
    </w:p>
    <w:p>
      <w:pPr>
        <w:pStyle w:val="FirstParagraph"/>
      </w:pPr>
      <w:r>
        <w:t xml:space="preserve">Ethical practice is a cornerstone of the medical profession. This Peer Review Report confirms that the Ophthalmologist adheres to the ethical guidelines established by the Colombian Medical Association. There were no findings of unethical behavior, conflicts of interest, or breaches of patient confidentiality. The specialist maintains transparent billing practices and provides honest assessments of treatment options, avoiding unnecessary procedures.</w:t>
      </w:r>
    </w:p>
    <w:p>
      <w:pPr>
        <w:pStyle w:val="BodyText"/>
      </w:pPr>
      <w:r>
        <w:t xml:space="preserve">The Ophthalmologist’s commitment to ethical standards enhances the reputation of the healthcare sector in Colombia Medellín. By prioritizing patient welfare over financial gain, the specialist contributes to the overall trust in the medical system. This ethical conduct is particularly important in a city known for its growing medical tourism industry, where international patients rely on the integrity of local healthcare providers.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Ophthalmologist in question demonstrates a high level of professional competence, clinical skill, and ethical integrity. The specialist meets the rigorous standards required for practice in Colombia Medellín and contributes positively to the field of ophthalmology in the region.</w:t>
      </w:r>
    </w:p>
    <w:p>
      <w:pPr>
        <w:pStyle w:val="BodyText"/>
      </w:pPr>
      <w:r>
        <w:t xml:space="preserve">While the overall assessment is favorable, the following recommendations are made to further enhance the quality of care:</w:t>
      </w:r>
    </w:p>
    <w:p>
      <w:pPr>
        <w:numPr>
          <w:ilvl w:val="0"/>
          <w:numId w:val="1001"/>
        </w:numPr>
        <w:pStyle w:val="Compact"/>
      </w:pPr>
      <w:r>
        <w:t xml:space="preserve">Continue to engage in ongoing education and training to stay abreast of emerging technologies in ophthalmic surgery.</w:t>
      </w:r>
    </w:p>
    <w:p>
      <w:pPr>
        <w:numPr>
          <w:ilvl w:val="0"/>
          <w:numId w:val="1001"/>
        </w:numPr>
        <w:pStyle w:val="Compact"/>
      </w:pPr>
      <w:r>
        <w:t xml:space="preserve">Implement a formalized patient feedback system to continuously monitor and improve patient satisfaction.</w:t>
      </w:r>
    </w:p>
    <w:p>
      <w:pPr>
        <w:numPr>
          <w:ilvl w:val="0"/>
          <w:numId w:val="1001"/>
        </w:numPr>
        <w:pStyle w:val="Compact"/>
      </w:pPr>
      <w:r>
        <w:t xml:space="preserve">Strengthen collaboration with other healthcare professionals in Colombia Medellín to facilitate multidisciplinary care for complex cases.</w:t>
      </w:r>
    </w:p>
    <w:p>
      <w:pPr>
        <w:pStyle w:val="FirstParagraph"/>
      </w:pPr>
      <w:r>
        <w:t xml:space="preserve">In conclusion, this Ophthalmologist is deemed fit to continue practicing with full confidence in their ability to provide safe, effective, and compassionate care to patients. This Peer Review Report serves as a testament to their dedication to excellence in the medical field.</w:t>
      </w:r>
    </w:p>
    <w:bookmarkEnd w:id="26"/>
    <w:p>
      <w:pPr>
        <w:pStyle w:val="BodyText"/>
      </w:pPr>
      <w:r>
        <w:rPr>
          <w:bCs/>
          <w:b/>
        </w:rPr>
        <w:t xml:space="preserve">Prepared by:</w:t>
      </w:r>
    </w:p>
    <w:p>
      <w:pPr>
        <w:pStyle w:val="BodyText"/>
      </w:pPr>
      <w:r>
        <w:t xml:space="preserve">Dr. [Reviewer Name]</w:t>
      </w:r>
    </w:p>
    <w:p>
      <w:pPr>
        <w:pStyle w:val="BodyText"/>
      </w:pPr>
      <w:r>
        <w:t xml:space="preserve">Board-Certified Ophthalmologist</w:t>
      </w:r>
    </w:p>
    <w:p>
      <w:pPr>
        <w:pStyle w:val="BodyText"/>
      </w:pPr>
      <w:r>
        <w:t xml:space="preserve">Peer Review Committee</w:t>
      </w:r>
    </w:p>
    <w:p>
      <w:pPr>
        <w:pStyle w:val="BodyText"/>
      </w:pP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Colombia Medellín</dc:title>
  <dc:creator/>
  <dc:language>en</dc:language>
  <cp:keywords/>
  <dcterms:created xsi:type="dcterms:W3CDTF">2026-10-10T13:53:26Z</dcterms:created>
  <dcterms:modified xsi:type="dcterms:W3CDTF">2026-10-10T13:53:26Z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