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Clinical Competency and Professional Practice Assessment</w:t>
      </w:r>
    </w:p>
    <w:bookmarkEnd w:id="20"/>
    <w:p>
      <w:pPr>
        <w:pStyle w:val="BodyText"/>
      </w:pPr>
      <w:r>
        <w:rPr>
          <w:bCs/>
          <w:b/>
        </w:rPr>
        <w:t xml:space="preserve">Subject Specialty:</w:t>
      </w:r>
      <w:r>
        <w:t xml:space="preserve"> </w:t>
      </w:r>
      <w:r>
        <w:t xml:space="preserve">Ophthalmology</w:t>
      </w:r>
    </w:p>
    <w:p>
      <w:pPr>
        <w:pStyle w:val="BodyText"/>
      </w:pPr>
      <w:r>
        <w:rPr>
          <w:bCs/>
          <w:b/>
        </w:rPr>
        <w:t xml:space="preserve">Location of Practice:</w:t>
      </w:r>
      <w:r>
        <w:t xml:space="preserve"> </w:t>
      </w:r>
      <w:r>
        <w:t xml:space="preserve">France Paris</w:t>
      </w:r>
    </w:p>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Reviewer ID:</w:t>
      </w:r>
      <w:r>
        <w:t xml:space="preserve"> </w:t>
      </w:r>
      <w:r>
        <w:t xml:space="preserve">PR-2023-FR-892</w:t>
      </w:r>
    </w:p>
    <w:p>
      <w:pPr>
        <w:pStyle w:val="BodyText"/>
      </w:pPr>
      <w:r>
        <w:rPr>
          <w:bCs/>
          <w:b/>
        </w:rPr>
        <w:t xml:space="preserve">Report 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clinical performance, surgical proficiency, and professional conduct of the designated</w:t>
      </w:r>
      <w:r>
        <w:t xml:space="preserve"> </w:t>
      </w:r>
      <w:r>
        <w:rPr>
          <w:bCs/>
          <w:b/>
        </w:rPr>
        <w:t xml:space="preserve">Ophthalmologist</w:t>
      </w:r>
      <w:r>
        <w:t xml:space="preserve"> </w:t>
      </w:r>
      <w:r>
        <w:t xml:space="preserve">practicing within the metropolitan area of</w:t>
      </w:r>
      <w:r>
        <w:t xml:space="preserve"> </w:t>
      </w:r>
      <w:r>
        <w:rPr>
          <w:bCs/>
          <w:b/>
        </w:rPr>
        <w:t xml:space="preserve">France Paris</w:t>
      </w:r>
      <w:r>
        <w:t xml:space="preserve">. The review aligns with the standards set by the French National Authority for Health (Haute Autorité de Santé - HAS) and the International Council of Ophthalmology (ICO). The assessment focuses on the quality of patient care, adherence to clinical guidelines, surgical outcomes, and the integration of advanced diagnostic technologies typical of leading ophthalmic centers in Paris.</w:t>
      </w:r>
    </w:p>
    <w:p>
      <w:pPr>
        <w:pStyle w:val="BodyText"/>
      </w:pPr>
      <w:r>
        <w:t xml:space="preserve">The overall evaluation indicates a high level of clinical competence. The</w:t>
      </w:r>
      <w:r>
        <w:t xml:space="preserve"> </w:t>
      </w:r>
      <w:r>
        <w:rPr>
          <w:bCs/>
          <w:b/>
        </w:rPr>
        <w:t xml:space="preserve">Ophthalmologist</w:t>
      </w:r>
      <w:r>
        <w:t xml:space="preserve"> </w:t>
      </w:r>
      <w:r>
        <w:t xml:space="preserve">demonstrates a thorough understanding of complex ocular pathologies and maintains a practice that is consistent with the rigorous expectations of the healthcare system in</w:t>
      </w:r>
      <w:r>
        <w:t xml:space="preserve"> </w:t>
      </w:r>
      <w:r>
        <w:rPr>
          <w:bCs/>
          <w:b/>
        </w:rPr>
        <w:t xml:space="preserve">France Paris</w:t>
      </w:r>
      <w:r>
        <w:t xml:space="preserve">.</w:t>
      </w:r>
    </w:p>
    <w:bookmarkEnd w:id="21"/>
    <w:bookmarkStart w:id="22" w:name="X6f6d8d8ffcf3aa95c70f273d3a05cc874ff8c55"/>
    <w:p>
      <w:pPr>
        <w:pStyle w:val="Heading2"/>
      </w:pPr>
      <w:r>
        <w:t xml:space="preserve">2. Clinical Competency and Diagnostic Accuracy</w:t>
      </w:r>
    </w:p>
    <w:p>
      <w:pPr>
        <w:pStyle w:val="FirstParagraph"/>
      </w:pPr>
      <w:r>
        <w:t xml:space="preserve">The core of this</w:t>
      </w:r>
      <w:r>
        <w:t xml:space="preserve"> </w:t>
      </w:r>
      <w:r>
        <w:rPr>
          <w:bCs/>
          <w:b/>
        </w:rPr>
        <w:t xml:space="preserve">Peer Review Report</w:t>
      </w:r>
      <w:r>
        <w:t xml:space="preserve"> </w:t>
      </w:r>
      <w:r>
        <w:t xml:space="preserve">examines the diagnostic capabilities of the</w:t>
      </w:r>
      <w:r>
        <w:t xml:space="preserve"> </w:t>
      </w:r>
      <w:r>
        <w:rPr>
          <w:bCs/>
          <w:b/>
        </w:rPr>
        <w:t xml:space="preserve">Ophthalmologist</w:t>
      </w:r>
      <w:r>
        <w:t xml:space="preserve">. In the context of</w:t>
      </w:r>
      <w:r>
        <w:t xml:space="preserve"> </w:t>
      </w:r>
      <w:r>
        <w:rPr>
          <w:bCs/>
          <w:b/>
        </w:rPr>
        <w:t xml:space="preserve">France Paris</w:t>
      </w:r>
      <w:r>
        <w:t xml:space="preserve">, where access to cutting-edge diagnostic tools such as Optical Coherence Tomography (OCT) and advanced fundus imaging is standard, the subject's proficiency is critical.</w:t>
      </w:r>
    </w:p>
    <w:p>
      <w:pPr>
        <w:numPr>
          <w:ilvl w:val="0"/>
          <w:numId w:val="1001"/>
        </w:numPr>
        <w:pStyle w:val="Compact"/>
      </w:pPr>
      <w:r>
        <w:rPr>
          <w:bCs/>
          <w:b/>
        </w:rPr>
        <w:t xml:space="preserve">Diagnostic Precision:</w:t>
      </w:r>
      <w:r>
        <w:t xml:space="preserve"> </w:t>
      </w:r>
      <w:r>
        <w:t xml:space="preserve">The review of 150 anonymized patient files reveals a diagnostic accuracy rate of 96%. The</w:t>
      </w:r>
      <w:r>
        <w:t xml:space="preserve"> </w:t>
      </w:r>
      <w:r>
        <w:rPr>
          <w:bCs/>
          <w:b/>
        </w:rPr>
        <w:t xml:space="preserve">Ophthalmologist</w:t>
      </w:r>
      <w:r>
        <w:t xml:space="preserve"> </w:t>
      </w:r>
      <w:r>
        <w:t xml:space="preserve">correctly identified early-stage glaucoma, macular degeneration, and diabetic retinopathy cases, ensuring timely intervention.</w:t>
      </w:r>
    </w:p>
    <w:p>
      <w:pPr>
        <w:numPr>
          <w:ilvl w:val="0"/>
          <w:numId w:val="1001"/>
        </w:numPr>
        <w:pStyle w:val="Compact"/>
      </w:pPr>
      <w:r>
        <w:rPr>
          <w:bCs/>
          <w:b/>
        </w:rPr>
        <w:t xml:space="preserve">Use of Technology:</w:t>
      </w:r>
      <w:r>
        <w:t xml:space="preserve"> </w:t>
      </w:r>
      <w:r>
        <w:t xml:space="preserve">The practitioner effectively utilizes modern imaging modalities available in Parisian clinics. Reports indicate that OCT scans are interpreted with high fidelity, correlating structural changes with functional visual loss accurately.</w:t>
      </w:r>
    </w:p>
    <w:p>
      <w:pPr>
        <w:numPr>
          <w:ilvl w:val="0"/>
          <w:numId w:val="1001"/>
        </w:numPr>
        <w:pStyle w:val="Compact"/>
      </w:pPr>
      <w:r>
        <w:rPr>
          <w:bCs/>
          <w:b/>
        </w:rPr>
        <w:t xml:space="preserve">Differential Diagnosis:</w:t>
      </w:r>
      <w:r>
        <w:t xml:space="preserve"> </w:t>
      </w:r>
      <w:r>
        <w:t xml:space="preserve">The</w:t>
      </w:r>
      <w:r>
        <w:t xml:space="preserve"> </w:t>
      </w:r>
      <w:r>
        <w:rPr>
          <w:bCs/>
          <w:b/>
        </w:rPr>
        <w:t xml:space="preserve">Ophthalmologist</w:t>
      </w:r>
      <w:r>
        <w:t xml:space="preserve"> </w:t>
      </w:r>
      <w:r>
        <w:t xml:space="preserve">demonstrates strong reasoning skills in distinguishing between neuro-ophthalmic conditions and primary ocular diseases, a skill particularly valued in the multidisciplinary environment of hospitals in</w:t>
      </w:r>
      <w:r>
        <w:t xml:space="preserve"> </w:t>
      </w:r>
      <w:r>
        <w:rPr>
          <w:bCs/>
          <w:b/>
        </w:rPr>
        <w:t xml:space="preserve">France Paris</w:t>
      </w:r>
      <w:r>
        <w:t xml:space="preserve">.</w:t>
      </w:r>
    </w:p>
    <w:bookmarkEnd w:id="22"/>
    <w:bookmarkStart w:id="24" w:name="surgical-proficiency-and-outcomes"/>
    <w:p>
      <w:pPr>
        <w:pStyle w:val="Heading2"/>
      </w:pPr>
      <w:r>
        <w:t xml:space="preserve">3. Surgical Proficiency and Outcomes</w:t>
      </w:r>
    </w:p>
    <w:p>
      <w:pPr>
        <w:pStyle w:val="FirstParagraph"/>
      </w:pPr>
      <w:r>
        <w:t xml:space="preserve">Surgical performance is a pivotal component of this</w:t>
      </w:r>
      <w:r>
        <w:t xml:space="preserve"> </w:t>
      </w:r>
      <w:r>
        <w:rPr>
          <w:bCs/>
          <w:b/>
        </w:rPr>
        <w:t xml:space="preserve">Peer Review Report</w:t>
      </w:r>
      <w:r>
        <w:t xml:space="preserve">. The</w:t>
      </w:r>
      <w:r>
        <w:t xml:space="preserve"> </w:t>
      </w:r>
      <w:r>
        <w:rPr>
          <w:bCs/>
          <w:b/>
        </w:rPr>
        <w:t xml:space="preserve">Ophthalmologist</w:t>
      </w:r>
      <w:r>
        <w:t xml:space="preserve"> </w:t>
      </w:r>
      <w:r>
        <w:t xml:space="preserve">performs a high volume of cataract surgeries, refractive procedures, and vitreoretinal interventions. The assessment compares these outcomes against national benchmarks established by the French Society of Ophthalmology (Société Française d'Ophtalmologie).</w:t>
      </w:r>
    </w:p>
    <w:bookmarkStart w:id="23" w:name="surgical-metrics-summary"/>
    <w:p>
      <w:pPr>
        <w:pStyle w:val="Heading3"/>
      </w:pPr>
      <w:r>
        <w:t xml:space="preserve">Surgical Metrics Summary</w:t>
      </w:r>
    </w:p>
    <w:p>
      <w:pPr>
        <w:pStyle w:val="FirstParagraph"/>
      </w:pPr>
      <w:r>
        <w:t xml:space="preserve">Cataract Surgery Success Rate:</w:t>
      </w:r>
      <w:r>
        <w:t xml:space="preserve"> </w:t>
      </w:r>
      <w:r>
        <w:t xml:space="preserve">98.5%</w:t>
      </w:r>
    </w:p>
    <w:p>
      <w:pPr>
        <w:pStyle w:val="BodyText"/>
      </w:pPr>
      <w:r>
        <w:t xml:space="preserve">Post-Operative Complication Rate:</w:t>
      </w:r>
      <w:r>
        <w:t xml:space="preserve"> </w:t>
      </w:r>
      <w:r>
        <w:t xml:space="preserve">1.2% (Below National Average)</w:t>
      </w:r>
    </w:p>
    <w:p>
      <w:pPr>
        <w:pStyle w:val="BodyText"/>
      </w:pPr>
      <w:r>
        <w:t xml:space="preserve">Patient Visual Acuity Improvement:</w:t>
      </w:r>
      <w:r>
        <w:t xml:space="preserve"> </w:t>
      </w:r>
      <w:r>
        <w:t xml:space="preserve">94% achieved 20/40 or better</w:t>
      </w:r>
    </w:p>
    <w:bookmarkEnd w:id="23"/>
    <w:p>
      <w:pPr>
        <w:pStyle w:val="BodyText"/>
      </w:pPr>
      <w:r>
        <w:t xml:space="preserve">The data confirms that the</w:t>
      </w:r>
      <w:r>
        <w:t xml:space="preserve"> </w:t>
      </w:r>
      <w:r>
        <w:rPr>
          <w:bCs/>
          <w:b/>
        </w:rPr>
        <w:t xml:space="preserve">Ophthalmologist</w:t>
      </w:r>
      <w:r>
        <w:t xml:space="preserve"> </w:t>
      </w:r>
      <w:r>
        <w:t xml:space="preserve">maintains excellent surgical standards. In</w:t>
      </w:r>
      <w:r>
        <w:t xml:space="preserve"> </w:t>
      </w:r>
      <w:r>
        <w:rPr>
          <w:bCs/>
          <w:b/>
        </w:rPr>
        <w:t xml:space="preserve">France Paris</w:t>
      </w:r>
      <w:r>
        <w:t xml:space="preserve">, where patient expectations for refractive outcomes are exceptionally high, the subject's ability to minimize induced astigmatism and ensure rapid recovery times is commendable. Furthermore, the management of intraoperative complications was observed to be calm, methodical, and effective, prioritizing patient safety above all else.</w:t>
      </w:r>
    </w:p>
    <w:bookmarkEnd w:id="24"/>
    <w:bookmarkStart w:id="25" w:name="patient-care-and-communication"/>
    <w:p>
      <w:pPr>
        <w:pStyle w:val="Heading2"/>
      </w:pPr>
      <w:r>
        <w:t xml:space="preserve">4. Patient Care and Communication</w:t>
      </w:r>
    </w:p>
    <w:p>
      <w:pPr>
        <w:pStyle w:val="FirstParagraph"/>
      </w:pPr>
      <w:r>
        <w:t xml:space="preserve">This</w:t>
      </w:r>
      <w:r>
        <w:t xml:space="preserve"> </w:t>
      </w:r>
      <w:r>
        <w:rPr>
          <w:bCs/>
          <w:b/>
        </w:rPr>
        <w:t xml:space="preserve">Peer Review Report</w:t>
      </w:r>
      <w:r>
        <w:t xml:space="preserve"> </w:t>
      </w:r>
      <w:r>
        <w:t xml:space="preserve">also evaluates the interpersonal skills of the</w:t>
      </w:r>
      <w:r>
        <w:t xml:space="preserve"> </w:t>
      </w:r>
      <w:r>
        <w:rPr>
          <w:bCs/>
          <w:b/>
        </w:rPr>
        <w:t xml:space="preserve">Ophthalmologist</w:t>
      </w:r>
      <w:r>
        <w:t xml:space="preserve">. Effective communication is essential in the diverse, multicultural setting of</w:t>
      </w:r>
      <w:r>
        <w:t xml:space="preserve"> </w:t>
      </w:r>
      <w:r>
        <w:rPr>
          <w:bCs/>
          <w:b/>
        </w:rPr>
        <w:t xml:space="preserve">France Paris</w:t>
      </w:r>
      <w:r>
        <w:t xml:space="preserve">.</w:t>
      </w:r>
    </w:p>
    <w:p>
      <w:pPr>
        <w:numPr>
          <w:ilvl w:val="0"/>
          <w:numId w:val="1002"/>
        </w:numPr>
        <w:pStyle w:val="Compact"/>
      </w:pPr>
      <w:r>
        <w:rPr>
          <w:bCs/>
          <w:b/>
        </w:rPr>
        <w:t xml:space="preserve">Patient Education:</w:t>
      </w:r>
      <w:r>
        <w:t xml:space="preserve"> </w:t>
      </w:r>
      <w:r>
        <w:t xml:space="preserve">The</w:t>
      </w:r>
      <w:r>
        <w:t xml:space="preserve"> </w:t>
      </w:r>
      <w:r>
        <w:rPr>
          <w:bCs/>
          <w:b/>
        </w:rPr>
        <w:t xml:space="preserve">Ophthalmologist</w:t>
      </w:r>
      <w:r>
        <w:t xml:space="preserve"> </w:t>
      </w:r>
      <w:r>
        <w:t xml:space="preserve">excels in explaining complex conditions such as age-related macular degeneration (AMD) and the necessity of anti-VEGF injections. Patient feedback forms indicate a high level of understanding and satisfaction with the care plan.</w:t>
      </w:r>
    </w:p>
    <w:p>
      <w:pPr>
        <w:numPr>
          <w:ilvl w:val="0"/>
          <w:numId w:val="1002"/>
        </w:numPr>
        <w:pStyle w:val="Compact"/>
      </w:pPr>
      <w:r>
        <w:rPr>
          <w:bCs/>
          <w:b/>
        </w:rPr>
        <w:t xml:space="preserve">Empathy and Bedside Manner:</w:t>
      </w:r>
      <w:r>
        <w:t xml:space="preserve"> </w:t>
      </w:r>
      <w:r>
        <w:t xml:space="preserve">Observations during clinic hours reveal a compassionate approach. The practitioner takes adequate time to address patient anxieties, which is crucial in ophthalmology where vision loss can be a source of significant distress.</w:t>
      </w:r>
    </w:p>
    <w:p>
      <w:pPr>
        <w:numPr>
          <w:ilvl w:val="0"/>
          <w:numId w:val="1002"/>
        </w:numPr>
        <w:pStyle w:val="Compact"/>
      </w:pPr>
      <w:r>
        <w:rPr>
          <w:bCs/>
          <w:b/>
        </w:rPr>
        <w:t xml:space="preserve">Language Proficiency:</w:t>
      </w:r>
      <w:r>
        <w:t xml:space="preserve"> </w:t>
      </w:r>
      <w:r>
        <w:t xml:space="preserve">The</w:t>
      </w:r>
      <w:r>
        <w:t xml:space="preserve"> </w:t>
      </w:r>
      <w:r>
        <w:rPr>
          <w:bCs/>
          <w:b/>
        </w:rPr>
        <w:t xml:space="preserve">Ophthalmologist</w:t>
      </w:r>
      <w:r>
        <w:t xml:space="preserve"> </w:t>
      </w:r>
      <w:r>
        <w:t xml:space="preserve">demonstrates fluency in French and English, facilitating clear communication with the international patient population frequently seen in Parisian medical centers.</w:t>
      </w:r>
    </w:p>
    <w:bookmarkEnd w:id="25"/>
    <w:bookmarkStart w:id="26" w:name="adherence-to-regulations-and-ethics"/>
    <w:p>
      <w:pPr>
        <w:pStyle w:val="Heading2"/>
      </w:pPr>
      <w:r>
        <w:t xml:space="preserve">5. Adherence to Regulations and Ethics</w:t>
      </w:r>
    </w:p>
    <w:p>
      <w:pPr>
        <w:pStyle w:val="FirstParagraph"/>
      </w:pPr>
      <w:r>
        <w:t xml:space="preserve">Compliance with legal and ethical standards is mandatory for any medical professional in France. This</w:t>
      </w:r>
      <w:r>
        <w:t xml:space="preserve"> </w:t>
      </w:r>
      <w:r>
        <w:rPr>
          <w:bCs/>
          <w:b/>
        </w:rPr>
        <w:t xml:space="preserve">Peer Review Report</w:t>
      </w:r>
      <w:r>
        <w:t xml:space="preserve"> </w:t>
      </w:r>
      <w:r>
        <w:t xml:space="preserve">confirms that the</w:t>
      </w:r>
      <w:r>
        <w:t xml:space="preserve"> </w:t>
      </w:r>
      <w:r>
        <w:rPr>
          <w:bCs/>
          <w:b/>
        </w:rPr>
        <w:t xml:space="preserve">Ophthalmologist</w:t>
      </w:r>
      <w:r>
        <w:t xml:space="preserve"> </w:t>
      </w:r>
      <w:r>
        <w:t xml:space="preserve">strictly adheres to the regulations of the Conseil National de l'Ordre des Médecins (CNOM).</w:t>
      </w:r>
    </w:p>
    <w:p>
      <w:pPr>
        <w:pStyle w:val="BodyText"/>
      </w:pPr>
      <w:r>
        <w:t xml:space="preserve">Key areas of compliance include:</w:t>
      </w:r>
    </w:p>
    <w:p>
      <w:pPr>
        <w:numPr>
          <w:ilvl w:val="0"/>
          <w:numId w:val="1003"/>
        </w:numPr>
        <w:pStyle w:val="Compact"/>
      </w:pPr>
      <w:r>
        <w:t xml:space="preserve">Maintenance of accurate and confidential medical records in accordance with French data protection laws (RGPD).</w:t>
      </w:r>
    </w:p>
    <w:p>
      <w:pPr>
        <w:numPr>
          <w:ilvl w:val="0"/>
          <w:numId w:val="1003"/>
        </w:numPr>
        <w:pStyle w:val="Compact"/>
      </w:pPr>
      <w:r>
        <w:t xml:space="preserve">Appropriate prescribing practices, avoiding unnecessary antibiotic or steroid use.</w:t>
      </w:r>
    </w:p>
    <w:p>
      <w:pPr>
        <w:numPr>
          <w:ilvl w:val="0"/>
          <w:numId w:val="1003"/>
        </w:numPr>
        <w:pStyle w:val="Compact"/>
      </w:pPr>
      <w:r>
        <w:t xml:space="preserve">Transparent informed consent processes for all surgical procedures performed in</w:t>
      </w:r>
      <w:r>
        <w:t xml:space="preserve"> </w:t>
      </w:r>
      <w:r>
        <w:rPr>
          <w:bCs/>
          <w:b/>
        </w:rPr>
        <w:t xml:space="preserve">France Paris</w:t>
      </w:r>
      <w:r>
        <w:t xml:space="preserve">.</w:t>
      </w:r>
    </w:p>
    <w:p>
      <w:pPr>
        <w:numPr>
          <w:ilvl w:val="0"/>
          <w:numId w:val="1003"/>
        </w:numPr>
        <w:pStyle w:val="Compact"/>
      </w:pPr>
      <w:r>
        <w:t xml:space="preserve">Active participation in continuing medical education (CME) to stay updated with the latest ophthalmic advancements.</w:t>
      </w:r>
    </w:p>
    <w:bookmarkEnd w:id="26"/>
    <w:bookmarkStart w:id="27"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w:t>
      </w:r>
      <w:r>
        <w:t xml:space="preserve"> </w:t>
      </w:r>
      <w:r>
        <w:rPr>
          <w:bCs/>
          <w:b/>
        </w:rPr>
        <w:t xml:space="preserve">Ophthalmologist</w:t>
      </w:r>
      <w:r>
        <w:t xml:space="preserve"> </w:t>
      </w:r>
      <w:r>
        <w:t xml:space="preserve">is deemed fully competent and fit to continue practicing in</w:t>
      </w:r>
      <w:r>
        <w:t xml:space="preserve"> </w:t>
      </w:r>
      <w:r>
        <w:rPr>
          <w:bCs/>
          <w:b/>
        </w:rPr>
        <w:t xml:space="preserve">France Paris</w:t>
      </w:r>
      <w:r>
        <w:t xml:space="preserve">. The practitioner exhibits a high degree of technical skill, diagnostic acumen, and professional integrity.</w:t>
      </w:r>
    </w:p>
    <w:p>
      <w:pPr>
        <w:pStyle w:val="BodyText"/>
      </w:pPr>
      <w:r>
        <w:rPr>
          <w:bCs/>
          <w:b/>
        </w:rPr>
        <w:t xml:space="preserve">Recommendations for Continued Excellence:</w:t>
      </w:r>
    </w:p>
    <w:p>
      <w:pPr>
        <w:numPr>
          <w:ilvl w:val="0"/>
          <w:numId w:val="1004"/>
        </w:numPr>
        <w:pStyle w:val="Compact"/>
      </w:pPr>
      <w:r>
        <w:t xml:space="preserve">Consider integrating more telemedicine consultations for post-operative follow-ups, aligning with the digital health initiatives promoted in France.</w:t>
      </w:r>
    </w:p>
    <w:p>
      <w:pPr>
        <w:numPr>
          <w:ilvl w:val="0"/>
          <w:numId w:val="1004"/>
        </w:numPr>
        <w:pStyle w:val="Compact"/>
      </w:pPr>
      <w:r>
        <w:t xml:space="preserve">Continue to engage in research or clinical trials related to retinal therapies, contributing to the academic reputation of ophthalmology in Paris.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Ophthalmologist</w:t>
      </w:r>
      <w:r>
        <w:t xml:space="preserve"> </w:t>
      </w:r>
      <w:r>
        <w:t xml:space="preserve">provides care of the highest standard, meeting and often exceeding the expectations of patients, peers, and regulatory bodies in</w:t>
      </w:r>
      <w:r>
        <w:t xml:space="preserve"> </w:t>
      </w:r>
      <w:r>
        <w:rPr>
          <w:bCs/>
          <w:b/>
        </w:rPr>
        <w:t xml:space="preserve">France Paris</w:t>
      </w:r>
      <w:r>
        <w:t xml:space="preserve">.</w:t>
      </w:r>
    </w:p>
    <w:p>
      <w:pPr>
        <w:pStyle w:val="BodyText"/>
      </w:pPr>
      <w:r>
        <w:rPr>
          <w:bCs/>
          <w:b/>
        </w:rPr>
        <w:t xml:space="preserve">Report Prepared By:</w:t>
      </w:r>
    </w:p>
    <w:p>
      <w:pPr>
        <w:pStyle w:val="BodyText"/>
      </w:pPr>
      <w:r>
        <w:t xml:space="preserve">Dr. Jean-Luc Moreau, MD, PhD</w:t>
      </w:r>
      <w:r>
        <w:br/>
      </w:r>
      <w:r>
        <w:t xml:space="preserve">Senior Peer Reviewer</w:t>
      </w:r>
      <w:r>
        <w:br/>
      </w:r>
      <w:r>
        <w:t xml:space="preserve">French Society of Ophthalmology</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Peer Review Committee - Ophthalmology Division, France Paris.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France Paris</dc:title>
  <dc:creator/>
  <dc:language>en</dc:language>
  <cp:keywords/>
  <dcterms:created xsi:type="dcterms:W3CDTF">2026-10-10T04:47:17Z</dcterms:created>
  <dcterms:modified xsi:type="dcterms:W3CDTF">2026-10-10T04:47:17Z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