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Ophthalmologist</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surgical proficiency, and professional conduct of a practicing Ophthalmologist within the jurisdiction of Germany Berlin. The assessment is conducted in accordance with the standards set by the Berlin Chamber of Physicians (Ärztekammer Berlin) and the German Medical Association (Bundesärztekammer). The primary objective is to ensure that the ophthalmic care provided aligns with the highest standards of medical excellence, patient safety, and ethical responsibility expected in the German healthcare system.</w:t>
      </w:r>
    </w:p>
    <w:p>
      <w:pPr>
        <w:pStyle w:val="BodyText"/>
      </w:pPr>
      <w:r>
        <w:t xml:space="preserve">The review encompasses a comprehensive analysis of medical records, surgical outcomes, patient feedback, and adherence to clinical guidelines specific to ophthalmology. Given the specialized nature of eye care, this report focuses heavily on diagnostic accuracy, surgical precision, and the management of complex ocular conditions prevalent in the Berlin metropolitan area.</w:t>
      </w:r>
    </w:p>
    <w:bookmarkEnd w:id="21"/>
    <w:bookmarkStart w:id="22" w:name="X6f6d8d8ffcf3aa95c70f273d3a05cc874ff8c55"/>
    <w:p>
      <w:pPr>
        <w:pStyle w:val="Heading2"/>
      </w:pPr>
      <w:r>
        <w:t xml:space="preserve">2. Clinical Competency and Diagnostic Accuracy</w:t>
      </w:r>
    </w:p>
    <w:p>
      <w:pPr>
        <w:pStyle w:val="FirstParagraph"/>
      </w:pPr>
      <w:r>
        <w:t xml:space="preserve">The Ophthalmologist under review demonstrates a robust understanding of ocular anatomy and pathology. The evaluation of patient files indicates a high level of diagnostic accuracy in identifying common conditions such as cataracts, glaucoma, diabetic retinopathy, and age-related macular degeneration. The use of advanced diagnostic tools, including Optical Coherence Tomography (OCT) and fundus photography, is consistent with current best practices in Germany Berlin.</w:t>
      </w:r>
    </w:p>
    <w:p>
      <w:pPr>
        <w:pStyle w:val="BodyText"/>
      </w:pPr>
      <w:r>
        <w:t xml:space="preserve">Furthermore, the physician exhibits a systematic approach to differential diagnosis, ensuring that rare or atypical presentations are thoroughly investigated. This meticulous attention to detail is crucial in ophthalmology, where early detection can significantly impact visual outcomes. The review confirms that the Ophthalmologist adheres to the S3 guidelines for the management of glaucoma and diabetic eye disease, which are mandatory standards for medical practice in Germany.</w:t>
      </w:r>
    </w:p>
    <w:bookmarkEnd w:id="22"/>
    <w:bookmarkStart w:id="23" w:name="surgical-proficiency-and-outcomes"/>
    <w:p>
      <w:pPr>
        <w:pStyle w:val="Heading2"/>
      </w:pPr>
      <w:r>
        <w:t xml:space="preserve">3. Surgical Proficiency and Outcomes</w:t>
      </w:r>
    </w:p>
    <w:p>
      <w:pPr>
        <w:pStyle w:val="FirstParagraph"/>
      </w:pPr>
      <w:r>
        <w:t xml:space="preserve">A significant portion of this Peer Review Report is dedicated to assessing the surgical performance of the Ophthalmologist. The review analyzed a sample of 150 surgical procedures, including phacoemulsification with intraocular lens implantation, laser-assisted in situ keratomileusis (LASIK), and vitreoretinal surgeries. The complication rates observed are within the acceptable range defined by international ophthalmic societies and local German standards.</w:t>
      </w:r>
    </w:p>
    <w:p>
      <w:pPr>
        <w:pStyle w:val="BodyText"/>
      </w:pPr>
      <w:r>
        <w:t xml:space="preserve">The surgeon demonstrates technical proficiency and steady hands, which are paramount in delicate eye surgeries. Post-operative care protocols are well-documented and follow established guidelines. Patients in Germany Berlin who underwent surgery reported high satisfaction rates regarding visual improvement and minimal post-operative discomfort. The Ophthalmologist’s ability to manage intraoperative complications effectively further underscores their surgical competence.</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quality healthcare. The Ophthalmologist is commended for their ability to explain complex medical conditions and treatment options in a clear and understandable manner. This is particularly important in a diverse city like Germany Berlin, where patients may come from various cultural and linguistic backgrounds. The physician’s staff is also noted for their professionalism and efficiency in managing patient appointments and inquiries.</w:t>
      </w:r>
    </w:p>
    <w:p>
      <w:pPr>
        <w:pStyle w:val="BodyText"/>
      </w:pPr>
      <w:r>
        <w:t xml:space="preserve">Patient feedback collected during the review period highlights the Ophthalmologist’s empathetic approach and willingness to address patient concerns. The establishment of a trusting doctor-patient relationship is evident, which contributes to better patient compliance and overall health outcomes. The practice maintains a patient-centered environment that respects individual needs and preferences.</w:t>
      </w:r>
    </w:p>
    <w:bookmarkEnd w:id="24"/>
    <w:bookmarkStart w:id="25" w:name="X7bfab7c127ebf3e8608fcb8f7f796a25bcaf1e4"/>
    <w:p>
      <w:pPr>
        <w:pStyle w:val="Heading2"/>
      </w:pPr>
      <w:r>
        <w:t xml:space="preserve">5. Adherence to Ethical Standards and Legal Requirements</w:t>
      </w:r>
    </w:p>
    <w:p>
      <w:pPr>
        <w:pStyle w:val="FirstParagraph"/>
      </w:pPr>
      <w:r>
        <w:t xml:space="preserve">The Ophthalmologist’s practice is in full compliance with the ethical guidelines set forth by the German Medical Association. Informed consent procedures are meticulously followed, ensuring that patients are fully aware of the risks, benefits, and alternatives of any proposed treatment. The review found no instances of ethical breaches or violations of patient confidentiality.</w:t>
      </w:r>
    </w:p>
    <w:p>
      <w:pPr>
        <w:pStyle w:val="BodyText"/>
      </w:pPr>
      <w:r>
        <w:t xml:space="preserve">Additionally, the practice adheres to all relevant legal requirements in Germany Berlin, including proper documentation, billing practices, and infection control measures. The Ophthalmologist actively participates in continuing medical education (CME) programs, staying updated with the latest advancements in ophthalmic science and technology. This commitment to lifelong learning is essential for maintaining high standards of care.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Ophthalmologist in question meets and, in many areas, exceeds the expected standards of professional practice in Germany Berlin. The physician’s clinical expertise, surgical skills, and dedication to patient care are commendable.</w:t>
      </w:r>
    </w:p>
    <w:p>
      <w:pPr>
        <w:pStyle w:val="BodyText"/>
      </w:pPr>
      <w:r>
        <w:t xml:space="preserve">However, to further enhance the quality of care, the following recommendations are made:</w:t>
      </w:r>
    </w:p>
    <w:p>
      <w:pPr>
        <w:numPr>
          <w:ilvl w:val="0"/>
          <w:numId w:val="1001"/>
        </w:numPr>
        <w:pStyle w:val="Compact"/>
      </w:pPr>
      <w:r>
        <w:t xml:space="preserve">Implement a more structured follow-up program for patients with chronic ocular conditions to improve long-term management.</w:t>
      </w:r>
    </w:p>
    <w:p>
      <w:pPr>
        <w:numPr>
          <w:ilvl w:val="0"/>
          <w:numId w:val="1001"/>
        </w:numPr>
        <w:pStyle w:val="Compact"/>
      </w:pPr>
      <w:r>
        <w:t xml:space="preserve">Consider expanding the use of telemedicine for routine consultations, which can increase accessibility for patients in the Berlin region.</w:t>
      </w:r>
    </w:p>
    <w:p>
      <w:pPr>
        <w:numPr>
          <w:ilvl w:val="0"/>
          <w:numId w:val="1001"/>
        </w:numPr>
        <w:pStyle w:val="Compact"/>
      </w:pPr>
      <w:r>
        <w:t xml:space="preserve">Continue to engage in multidisciplinary collaborations with other healthcare professionals to provide holistic care for patients with systemic diseases affecting the eyes.</w:t>
      </w:r>
    </w:p>
    <w:p>
      <w:pPr>
        <w:pStyle w:val="FirstParagraph"/>
      </w:pPr>
      <w:r>
        <w:t xml:space="preserve">In summary, this Ophthalmologist is a valuable asset to the medical community in Germany Berlin. Their commitment to excellence and patient well-being is evident in every aspect of their practice. This Peer Review Report serves as a testament to their professional integrity and clinical competence.</w:t>
      </w:r>
    </w:p>
    <w:bookmarkEnd w:id="26"/>
    <w:p>
      <w:pPr>
        <w:pStyle w:val="BodyText"/>
      </w:pPr>
      <w:r>
        <w:rPr>
          <w:bCs/>
          <w:b/>
        </w:rPr>
        <w:t xml:space="preserve">Prepared by:</w:t>
      </w:r>
    </w:p>
    <w:p>
      <w:pPr>
        <w:pStyle w:val="BodyText"/>
      </w:pPr>
      <w:r>
        <w:t xml:space="preserve">Dr. [Name]</w:t>
      </w:r>
    </w:p>
    <w:p>
      <w:pPr>
        <w:pStyle w:val="BodyText"/>
      </w:pPr>
      <w:r>
        <w:t xml:space="preserve">Lead Reviewer, Independent Medical Peer Review Committee</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Germany Berlin</dc:title>
  <dc:creator/>
  <dc:language>en</dc:language>
  <cp:keywords/>
  <dcterms:created xsi:type="dcterms:W3CDTF">2026-10-10T08:45:21Z</dcterms:created>
  <dcterms:modified xsi:type="dcterms:W3CDTF">2026-10-10T08:45:21Z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