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Competence</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Frankfurt am Main, Germany</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professional conduct, and adherence to medical standards of an Ophthalmologist practicing in Frankfurt, Germany. The review aims to ensure that the highest standards of patient care, diagnostic accuracy, and surgical proficiency are maintained in accordance with the guidelines set forth by the German Medical Association (Bundesärztekammer) and the local Chamber of Physicians (Ärztekammer Hessen).</w:t>
      </w:r>
    </w:p>
    <w:p>
      <w:pPr>
        <w:pStyle w:val="BodyText"/>
      </w:pPr>
      <w:r>
        <w:t xml:space="preserve">The scope of this review encompasses a comprehensive assessment of the Ophthalmologist's clinical records, surgical outcomes, patient feedback, and compliance with regulatory requirements specific to the healthcare environment in Frankfurt. The evaluation is conducted by a panel of experienced ophthalmologists and healthcare professionals to provide an objective and thorough analysis.</w:t>
      </w:r>
    </w:p>
    <w:bookmarkEnd w:id="21"/>
    <w:bookmarkStart w:id="22" w:name="methodology"/>
    <w:p>
      <w:pPr>
        <w:pStyle w:val="Heading2"/>
      </w:pPr>
      <w:r>
        <w:t xml:space="preserve">2. Methodology</w:t>
      </w:r>
    </w:p>
    <w:p>
      <w:pPr>
        <w:pStyle w:val="FirstParagraph"/>
      </w:pPr>
      <w:r>
        <w:t xml:space="preserve">The peer review process involved a multi-faceted approach to ensure a holistic evaluation of the Ophthalmologist's practice. The methodology included:</w:t>
      </w:r>
    </w:p>
    <w:p>
      <w:pPr>
        <w:numPr>
          <w:ilvl w:val="0"/>
          <w:numId w:val="1001"/>
        </w:numPr>
        <w:pStyle w:val="Compact"/>
      </w:pPr>
      <w:r>
        <w:rPr>
          <w:bCs/>
          <w:b/>
        </w:rPr>
        <w:t xml:space="preserve">Clinical Record Review:</w:t>
      </w:r>
      <w:r>
        <w:t xml:space="preserve"> </w:t>
      </w:r>
      <w:r>
        <w:t xml:space="preserve">A detailed examination of patient files to assess diagnostic accuracy, treatment plans, and follow-up care.</w:t>
      </w:r>
    </w:p>
    <w:p>
      <w:pPr>
        <w:numPr>
          <w:ilvl w:val="0"/>
          <w:numId w:val="1001"/>
        </w:numPr>
        <w:pStyle w:val="Compact"/>
      </w:pPr>
      <w:r>
        <w:rPr>
          <w:bCs/>
          <w:b/>
        </w:rPr>
        <w:t xml:space="preserve">Surgical Audit:</w:t>
      </w:r>
      <w:r>
        <w:t xml:space="preserve"> </w:t>
      </w:r>
      <w:r>
        <w:t xml:space="preserve">An analysis of surgical procedures performed, including success rates, complication rates, and adherence to surgical protocols.</w:t>
      </w:r>
    </w:p>
    <w:p>
      <w:pPr>
        <w:numPr>
          <w:ilvl w:val="0"/>
          <w:numId w:val="1001"/>
        </w:numPr>
        <w:pStyle w:val="Compact"/>
      </w:pPr>
      <w:r>
        <w:rPr>
          <w:bCs/>
          <w:b/>
        </w:rPr>
        <w:t xml:space="preserve">Patient Feedback:</w:t>
      </w:r>
      <w:r>
        <w:t xml:space="preserve"> </w:t>
      </w:r>
      <w:r>
        <w:t xml:space="preserve">Collection and analysis of patient testimonials and satisfaction surveys to gauge the quality of patient care and communication.</w:t>
      </w:r>
    </w:p>
    <w:p>
      <w:pPr>
        <w:numPr>
          <w:ilvl w:val="0"/>
          <w:numId w:val="1001"/>
        </w:numPr>
        <w:pStyle w:val="Compact"/>
      </w:pPr>
      <w:r>
        <w:rPr>
          <w:bCs/>
          <w:b/>
        </w:rPr>
        <w:t xml:space="preserve">Regulatory Compliance:</w:t>
      </w:r>
      <w:r>
        <w:t xml:space="preserve"> </w:t>
      </w:r>
      <w:r>
        <w:t xml:space="preserve">Verification of compliance with local, state, and national healthcare regulations in Germany, including data protection laws (GDPR) and medical licensing requirements.</w:t>
      </w:r>
    </w:p>
    <w:p>
      <w:pPr>
        <w:numPr>
          <w:ilvl w:val="0"/>
          <w:numId w:val="1001"/>
        </w:numPr>
        <w:pStyle w:val="Compact"/>
      </w:pPr>
      <w:r>
        <w:rPr>
          <w:bCs/>
          <w:b/>
        </w:rPr>
        <w:t xml:space="preserve">Peer Interviews:</w:t>
      </w:r>
      <w:r>
        <w:t xml:space="preserve"> </w:t>
      </w:r>
      <w:r>
        <w:t xml:space="preserve">Discussions with colleagues and staff to assess professional conduct, teamwork, and leadership qualities.</w:t>
      </w:r>
    </w:p>
    <w:bookmarkEnd w:id="22"/>
    <w:bookmarkStart w:id="23" w:name="X45c1b4156b66fede970d38e87ba1f3035493e48"/>
    <w:p>
      <w:pPr>
        <w:pStyle w:val="Heading2"/>
      </w:pPr>
      <w:r>
        <w:t xml:space="preserve">3. Clinical Competence and Diagnostic Accuracy</w:t>
      </w:r>
    </w:p>
    <w:p>
      <w:pPr>
        <w:pStyle w:val="FirstParagraph"/>
      </w:pPr>
      <w:r>
        <w:t xml:space="preserve">The Ophthalmologist demonstrated a high level of clinical competence and diagnostic accuracy throughout the review period. Patient records indicated a thorough approach to patient assessments, with detailed documentation of medical histories, visual acuity tests, and diagnostic imaging results. The use of advanced diagnostic tools, such as optical coherence tomography (OCT) and fundus photography, was consistent with best practices in ophthalmology.</w:t>
      </w:r>
    </w:p>
    <w:p>
      <w:pPr>
        <w:pStyle w:val="BodyText"/>
      </w:pPr>
      <w:r>
        <w:t xml:space="preserve">Treatment plans were well-documented and aligned with current clinical guidelines. The Ophthalmologist showed a strong ability to tailor treatment strategies to individual patient needs, considering factors such as age, comorbidities, and lifestyle. This personalized approach contributed to positive patient outcomes and high levels of patient satisfaction.</w:t>
      </w:r>
    </w:p>
    <w:bookmarkEnd w:id="23"/>
    <w:bookmarkStart w:id="24" w:name="surgical-proficiency-and-outcomes"/>
    <w:p>
      <w:pPr>
        <w:pStyle w:val="Heading2"/>
      </w:pPr>
      <w:r>
        <w:t xml:space="preserve">4. Surgical Proficiency and Outcomes</w:t>
      </w:r>
    </w:p>
    <w:p>
      <w:pPr>
        <w:pStyle w:val="FirstParagraph"/>
      </w:pPr>
      <w:r>
        <w:t xml:space="preserve">The surgical audit revealed that the Ophthalmologist maintains a high standard of surgical proficiency. Procedures performed, including cataract surgery, LASIK, and glaucoma interventions, were conducted with precision and adherence to established surgical protocols. The complication rate was within acceptable limits, and any adverse events were promptly addressed and documented.</w:t>
      </w:r>
    </w:p>
    <w:p>
      <w:pPr>
        <w:pStyle w:val="BodyText"/>
      </w:pPr>
      <w:r>
        <w:t xml:space="preserve">Post-operative care was thorough, with regular follow-up appointments scheduled to monitor patient recovery and address any concerns. The Ophthalmologist's commitment to continuous improvement was evident in the implementation of new surgical techniques and technologies, enhancing the quality of care provided to patients in Frankfurt.</w:t>
      </w:r>
    </w:p>
    <w:bookmarkEnd w:id="24"/>
    <w:bookmarkStart w:id="25" w:name="patient-care-and-communication"/>
    <w:p>
      <w:pPr>
        <w:pStyle w:val="Heading2"/>
      </w:pPr>
      <w:r>
        <w:t xml:space="preserve">5. Patient Care and Communication</w:t>
      </w:r>
    </w:p>
    <w:p>
      <w:pPr>
        <w:pStyle w:val="FirstParagraph"/>
      </w:pPr>
      <w:r>
        <w:t xml:space="preserve">Patient feedback highlighted the Ophthalmologist's excellent communication skills and empathetic approach to patient care. Patients reported feeling well-informed about their conditions and treatment options, with the Ophthalmologist taking the time to explain complex medical information in an understandable manner. This approach fostered trust and confidence in the healthcare provider.</w:t>
      </w:r>
    </w:p>
    <w:p>
      <w:pPr>
        <w:pStyle w:val="BodyText"/>
      </w:pPr>
      <w:r>
        <w:t xml:space="preserve">The practice environment in Frankfurt was described as welcoming and professional, with efficient appointment scheduling and minimal wait times. The Ophthalmologist's dedication to patient-centered care was evident in the high levels of satisfaction reported by patients.</w:t>
      </w:r>
    </w:p>
    <w:bookmarkEnd w:id="25"/>
    <w:bookmarkStart w:id="26" w:name="X6aa9908eedfe7092c1e6d483c2886cd2e721e4e"/>
    <w:p>
      <w:pPr>
        <w:pStyle w:val="Heading2"/>
      </w:pPr>
      <w:r>
        <w:t xml:space="preserve">6. Regulatory Compliance and Professional Conduct</w:t>
      </w:r>
    </w:p>
    <w:p>
      <w:pPr>
        <w:pStyle w:val="FirstParagraph"/>
      </w:pPr>
      <w:r>
        <w:t xml:space="preserve">The Ophthalmologist demonstrated full compliance with all relevant healthcare regulations in Germany, including those specific to the state of Hesse and the city of Frankfurt. Medical records were maintained in accordance with data protection laws, ensuring patient confidentiality and security. The practice adhered to infection control protocols and maintained a clean and safe environment for patients and staff.</w:t>
      </w:r>
    </w:p>
    <w:p>
      <w:pPr>
        <w:pStyle w:val="BodyText"/>
      </w:pPr>
      <w:r>
        <w:t xml:space="preserve">Professional conduct was exemplary, with the Ophthalmologist exhibiting integrity, respect, and collaboration in interactions with colleagues, patients, and regulatory bodies. The Ophthalmologist actively participated in continuing medical education and professional development activities, staying abreast of advancements in ophthalmology.</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maintain high standards of clinical practice and surgical proficiency.</w:t>
      </w:r>
    </w:p>
    <w:p>
      <w:pPr>
        <w:numPr>
          <w:ilvl w:val="0"/>
          <w:numId w:val="1002"/>
        </w:numPr>
        <w:pStyle w:val="Compact"/>
      </w:pPr>
      <w:r>
        <w:t xml:space="preserve">Explore opportunities for further integration of emerging technologies in diagnostic and treatment processes.</w:t>
      </w:r>
    </w:p>
    <w:p>
      <w:pPr>
        <w:numPr>
          <w:ilvl w:val="0"/>
          <w:numId w:val="1002"/>
        </w:numPr>
        <w:pStyle w:val="Compact"/>
      </w:pPr>
      <w:r>
        <w:t xml:space="preserve">Enhance patient education materials to support informed decision-making.</w:t>
      </w:r>
    </w:p>
    <w:p>
      <w:pPr>
        <w:numPr>
          <w:ilvl w:val="0"/>
          <w:numId w:val="1002"/>
        </w:numPr>
        <w:pStyle w:val="Compact"/>
      </w:pPr>
      <w:r>
        <w:t xml:space="preserve">Engage in regular peer discussions and case reviews to foster continuous learning and improvement.</w:t>
      </w:r>
    </w:p>
    <w:bookmarkEnd w:id="27"/>
    <w:bookmarkStart w:id="28" w:name="conclusion"/>
    <w:p>
      <w:pPr>
        <w:pStyle w:val="Heading2"/>
      </w:pPr>
      <w:r>
        <w:t xml:space="preserve">8. Conclusion</w:t>
      </w:r>
    </w:p>
    <w:p>
      <w:pPr>
        <w:pStyle w:val="FirstParagraph"/>
      </w:pPr>
      <w:r>
        <w:t xml:space="preserve">In conclusion, this Peer Review Report affirms the Ophthalmologist's commitment to providing high-quality, patient-centered care in Frankfurt, Germany. The evaluation highlights strengths in clinical competence, surgical proficiency, and professional conduct, with minor areas identified for potential enhancement. The Ophthalmologist's practice aligns with the highest standards of ophthalmic care, contributing positively to the healthcare landscape in Frankfurt.</w:t>
      </w:r>
    </w:p>
    <w:bookmarkEnd w:id="28"/>
    <w:p>
      <w:pPr>
        <w:pStyle w:val="BodyText"/>
      </w:pPr>
      <w:r>
        <w:rPr>
          <w:bCs/>
          <w:b/>
        </w:rPr>
        <w:t xml:space="preserve">Prepared by:</w:t>
      </w:r>
    </w:p>
    <w:p>
      <w:pPr>
        <w:pStyle w:val="BodyText"/>
      </w:pPr>
      <w:r>
        <w:t xml:space="preserve">Dr. [Name]</w:t>
      </w:r>
    </w:p>
    <w:p>
      <w:pPr>
        <w:pStyle w:val="BodyText"/>
      </w:pPr>
      <w:r>
        <w:t xml:space="preserve">Lead Reviewer, Peer Review Panel</w:t>
      </w:r>
    </w:p>
    <w:p>
      <w:pPr>
        <w:pStyle w:val="BodyText"/>
      </w:pPr>
      <w:r>
        <w:t xml:space="preserve">Frankfurt,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Frankfurt, Germany</dc:title>
  <dc:creator/>
  <dc:language>en</dc:language>
  <cp:keywords/>
  <dcterms:created xsi:type="dcterms:W3CDTF">2026-10-10T03:53:46Z</dcterms:created>
  <dcterms:modified xsi:type="dcterms:W3CDTF">2026-10-10T03:53:46Z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