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Munich Medical Association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operational standards of a practicing Ophthalmologist within the metropolitan area of Germany Munich. The review process adheres strictly to the guidelines established by the Bavarian Medical Association (Bayerische Landesärztekammer) and the German Medical Association (Bundesärztekammer). The primary objective is to ensure that the highest standards of ophthalmic care are maintained, reflecting the rigorous expectations of the healthcare system in Germany Munich.</w:t>
      </w:r>
    </w:p>
    <w:p>
      <w:pPr>
        <w:pStyle w:val="BodyText"/>
      </w:pPr>
      <w:r>
        <w:t xml:space="preserve">The scope of this review encompasses a comprehensive analysis of patient records, surgical outcomes, diagnostic accuracy, adherence to clinical guidelines, and patient satisfaction metrics. As an Ophthalmologist operating in a major European hub like Germany Munich, the subject is expected to demonstrate proficiency in both routine eye care and advanced surgical interventions, including refractive surgery, cataract extraction, and retinal therapies.</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Ophthalmologist’s clinical skills was conducted through a random sampling of 150 patient files over the past 12 months. The review focused on the accuracy of diagnoses for common conditions such as glaucoma, diabetic retinopathy, age-related macular degeneration (AMD), and cataracts. The findings indicate that the Ophthalmologist demonstrates a high level of diagnostic precision, consistently aligning with the current S3 guidelines for ophthalmic care in Germany.</w:t>
      </w:r>
    </w:p>
    <w:p>
      <w:pPr>
        <w:pStyle w:val="BodyText"/>
      </w:pPr>
      <w:r>
        <w:t xml:space="preserve">In the context of Germany Munich, where access to advanced diagnostic technology is prevalent, the Ophthalmologist has effectively utilized tools such as Optical Coherence Tomography (OCT), fundus photography, and visual field testing. The documentation of these diagnostic procedures is thorough, ensuring continuity of care and facilitating accurate treatment planning. The ability to differentiate between complex retinal pathologies and to manage chronic ocular conditions reflects a deep understanding of the specialty.</w:t>
      </w:r>
    </w:p>
    <w:bookmarkEnd w:id="22"/>
    <w:bookmarkStart w:id="23" w:name="surgical-performance-and-outcomes"/>
    <w:p>
      <w:pPr>
        <w:pStyle w:val="Heading2"/>
      </w:pPr>
      <w:r>
        <w:t xml:space="preserve">3. Surgical Performance and Outcomes</w:t>
      </w:r>
    </w:p>
    <w:p>
      <w:pPr>
        <w:pStyle w:val="FirstParagraph"/>
      </w:pPr>
      <w:r>
        <w:t xml:space="preserve">A significant portion of this Peer Review Report is dedicated to assessing the surgical performance of the Ophthalmologist. The review analyzed 75 surgical cases, including phacoemulsification with intraocular lens implantation, laser-assisted in situ keratomileusis (LASIK), and vitreoretinal surgeries. The complication rates observed are well within the acceptable ranges defined by international standards and the specific benchmarks set by the German Ophthalmological Society (DOG).</w:t>
      </w:r>
    </w:p>
    <w:p>
      <w:pPr>
        <w:pStyle w:val="BodyText"/>
      </w:pPr>
      <w:r>
        <w:t xml:space="preserve">The Ophthalmologist’s surgical technique is characterized by precision and efficiency. Post-operative outcomes, including visual acuity improvements and patient recovery times, are favorable. In Germany Munich, where patient expectations for surgical excellence are high, the Ophthalmologist has maintained a strong reputation for successful outcomes. The review also noted that the Ophthalmologist adheres to strict sterile protocols and infection control measures, which are critical in preventing post-surgical complications.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high-quality healthcare. This Peer Review Report evaluated the Ophthalmologist’s interactions with patients, including the clarity of explanations regarding diagnoses, treatment options, and potential risks. Patient feedback forms and interviews were analyzed to gauge satisfaction levels. The results indicate that the Ophthalmologist is empathetic, patient-centered, and skilled in conveying complex medical information in an understandable manner.</w:t>
      </w:r>
    </w:p>
    <w:p>
      <w:pPr>
        <w:pStyle w:val="BodyText"/>
      </w:pPr>
      <w:r>
        <w:t xml:space="preserve">In the multicultural environment of Germany Munich, the Ophthalmologist’s ability to communicate with patients from diverse linguistic and cultural backgrounds is particularly noteworthy. The use of interpreters and translated materials, where necessary, ensures that all patients receive equitable care. This commitment to inclusive patient care aligns with the broader healthcare goals of Germany Munich, which emphasize accessibility and patient rights.</w:t>
      </w:r>
    </w:p>
    <w:bookmarkEnd w:id="24"/>
    <w:bookmarkStart w:id="25" w:name="adherence-to-ethical-and-legal-standards"/>
    <w:p>
      <w:pPr>
        <w:pStyle w:val="Heading2"/>
      </w:pPr>
      <w:r>
        <w:t xml:space="preserve">5. Adherence to Ethical and Legal Standards</w:t>
      </w:r>
    </w:p>
    <w:p>
      <w:pPr>
        <w:pStyle w:val="FirstParagraph"/>
      </w:pPr>
      <w:r>
        <w:t xml:space="preserve">The Ophthalmologist’s compliance with ethical and legal standards was thoroughly examined. This includes adherence to the German Medical Professional Code (Musterberufsordnung), data protection regulations (GDPR), and informed consent procedures. The review found no instances of ethical violations or non-compliance with legal requirements. The Ophthalmologist maintains accurate and confidential patient records, ensuring that all documentation meets the stringent standards required in Germany Munich.</w:t>
      </w:r>
    </w:p>
    <w:p>
      <w:pPr>
        <w:pStyle w:val="BodyText"/>
      </w:pPr>
      <w:r>
        <w:t xml:space="preserve">Furthermore, the Ophthalmologist demonstrates a commitment to continuous professional development, regularly attending conferences, workshops, and training sessions. This dedication to staying updated with the latest advancements in ophthalmology is essential for maintaining high standards of care in a rapidly evolving field.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Ophthalmologist is deemed to meet and, in many areas, exceed the professional standards expected in Germany Munich. The clinical competence, surgical expertise, patient care, and ethical conduct demonstrated by the Ophthalmologist are commendable.</w:t>
      </w:r>
    </w:p>
    <w:p>
      <w:pPr>
        <w:pStyle w:val="BodyText"/>
      </w:pPr>
      <w:r>
        <w:t xml:space="preserve">To further enhance the quality of care, the following recommendations are made:</w:t>
      </w:r>
    </w:p>
    <w:p>
      <w:pPr>
        <w:numPr>
          <w:ilvl w:val="0"/>
          <w:numId w:val="1001"/>
        </w:numPr>
        <w:pStyle w:val="Compact"/>
      </w:pPr>
      <w:r>
        <w:t xml:space="preserve">Continue to engage in multidisciplinary collaborations with other healthcare professionals in Germany Munich to manage complex cases involving systemic diseases.</w:t>
      </w:r>
    </w:p>
    <w:p>
      <w:pPr>
        <w:numPr>
          <w:ilvl w:val="0"/>
          <w:numId w:val="1001"/>
        </w:numPr>
        <w:pStyle w:val="Compact"/>
      </w:pPr>
      <w:r>
        <w:t xml:space="preserve">Explore opportunities for participating in clinical research and trials to contribute to the advancement of ophthalmic care.</w:t>
      </w:r>
    </w:p>
    <w:p>
      <w:pPr>
        <w:numPr>
          <w:ilvl w:val="0"/>
          <w:numId w:val="1001"/>
        </w:numPr>
        <w:pStyle w:val="Compact"/>
      </w:pPr>
      <w:r>
        <w:t xml:space="preserve">Implement additional patient education programs to raise awareness about preventive eye care and early detection of ocular diseases.</w:t>
      </w:r>
    </w:p>
    <w:p>
      <w:pPr>
        <w:pStyle w:val="FirstParagraph"/>
      </w:pPr>
      <w:r>
        <w:t xml:space="preserve">In conclusion, this Peer Review Report affirms the Ophthalmologist’s status as a highly competent and dedicated professional. The findings reflect positively on the healthcare standards in Germany Munich and reinforce the trust placed in the Ophthalmologist by patients and colleagues alike.</w:t>
      </w:r>
    </w:p>
    <w:bookmarkEnd w:id="26"/>
    <w:p>
      <w:pPr>
        <w:pStyle w:val="BodyText"/>
      </w:pPr>
      <w:r>
        <w:rPr>
          <w:bCs/>
          <w:b/>
        </w:rPr>
        <w:t xml:space="preserve">Prepared by:</w:t>
      </w:r>
    </w:p>
    <w:p>
      <w:pPr>
        <w:pStyle w:val="BodyText"/>
      </w:pPr>
      <w:r>
        <w:t xml:space="preserve">Dr. Hans Müller, MD</w:t>
      </w:r>
    </w:p>
    <w:p>
      <w:pPr>
        <w:pStyle w:val="BodyText"/>
      </w:pPr>
      <w:r>
        <w:t xml:space="preserve">Chair, Peer Review Committee</w:t>
      </w:r>
    </w:p>
    <w:p>
      <w:pPr>
        <w:pStyle w:val="BodyText"/>
      </w:pPr>
      <w:r>
        <w:t xml:space="preserve">Munich Medical Association</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Germany Munich</dc:title>
  <dc:creator/>
  <dc:language>en</dc:language>
  <cp:keywords/>
  <dcterms:created xsi:type="dcterms:W3CDTF">2026-10-10T07:01:48Z</dcterms:created>
  <dcterms:modified xsi:type="dcterms:W3CDTF">2026-10-10T07:01:48Z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