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Competence of Ophthalmologist</w:t>
      </w:r>
    </w:p>
    <w:p>
      <w:pPr>
        <w:pStyle w:val="BodyText"/>
      </w:pPr>
      <w:r>
        <w:rPr>
          <w:bCs/>
          <w:b/>
        </w:rPr>
        <w:t xml:space="preserve">Location:</w:t>
      </w:r>
      <w:r>
        <w:t xml:space="preserve"> </w:t>
      </w:r>
      <w:r>
        <w:t xml:space="preserve">Mumbai, India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surgical proficiency, and professional conduct of a practicing Ophthalmologist based in Mumbai, India. The review is conducted in accordance with the standards set by the National Medical Commission (NMC) of India and the guidelines established by the Maharashtra Medical Council. The primary objective is to assess whether the Ophthalmologist maintains the requisite level of care expected within the dynamic healthcare environment of Mumbai, a metropolitan hub known for its high-volume patient load and advanced medical infrastructure.</w:t>
      </w:r>
    </w:p>
    <w:p>
      <w:pPr>
        <w:pStyle w:val="BodyText"/>
      </w:pPr>
      <w:r>
        <w:t xml:space="preserve">The scope of this review encompasses a retrospective analysis of patient records, surgical outcomes, adherence to clinical protocols, and feedback from colleagues and patients. Given the specific challenges and opportunities present in India Mumbai, the evaluation also considers the Ophthalmologist's ability to manage diverse socioeconomic patient demographics and utilize available technology effectively.</w:t>
      </w:r>
    </w:p>
    <w:bookmarkEnd w:id="21"/>
    <w:bookmarkStart w:id="22" w:name="X45c1b4156b66fede970d38e87ba1f3035493e48"/>
    <w:p>
      <w:pPr>
        <w:pStyle w:val="Heading2"/>
      </w:pPr>
      <w:r>
        <w:t xml:space="preserve">2. Clinical Competence and Diagnostic Accuracy</w:t>
      </w:r>
    </w:p>
    <w:p>
      <w:pPr>
        <w:pStyle w:val="FirstParagraph"/>
      </w:pPr>
      <w:r>
        <w:t xml:space="preserve">The Ophthalmologist demonstrates a high level of diagnostic accuracy across a broad spectrum of ocular conditions prevalent in the region. The review of case files indicates a thorough approach to diagnosing common pathologies such as cataracts, glaucoma, diabetic retinopathy, and refractive errors. In the context of Mumbai, where the prevalence of lifestyle-related eye diseases is rising, the Ophthalmologist has shown particular diligence in early detection and management of diabetic retinopathy.</w:t>
      </w:r>
    </w:p>
    <w:p>
      <w:pPr>
        <w:pStyle w:val="BodyText"/>
      </w:pPr>
      <w:r>
        <w:t xml:space="preserve">Diagnostic procedures are performed with precision, utilizing modern imaging technologies such as Optical Coherence Tomography (OCT) and fundus photography. The documentation of clinical findings is detailed and aligns with international standards of ophthalmic practice. The Ophthalmologist's ability to differentiate between complex cases, such as distinguishing between primary open-angle glaucoma and normal-tension glaucoma, reflects a deep understanding of the field.</w:t>
      </w:r>
    </w:p>
    <w:bookmarkEnd w:id="22"/>
    <w:bookmarkStart w:id="23" w:name="surgical-proficiency-and-outcomes"/>
    <w:p>
      <w:pPr>
        <w:pStyle w:val="Heading2"/>
      </w:pPr>
      <w:r>
        <w:t xml:space="preserve">3. Surgical Proficiency and Outcomes</w:t>
      </w:r>
    </w:p>
    <w:p>
      <w:pPr>
        <w:pStyle w:val="FirstParagraph"/>
      </w:pPr>
      <w:r>
        <w:t xml:space="preserve">A significant portion of the Ophthalmologist's practice involves surgical interventions, including phacoemulsification, LASIK, and glaucoma surgeries. The review of surgical logs over the past two years reveals a consistent success rate that meets or exceeds national benchmarks. Complication rates are within acceptable limits, and when complications do arise, they are managed promptly and effectively.</w:t>
      </w:r>
    </w:p>
    <w:p>
      <w:pPr>
        <w:pStyle w:val="BodyText"/>
      </w:pPr>
      <w:r>
        <w:t xml:space="preserve">The Ophthalmologist's surgical technique is noted for its efficiency and minimal invasiveness, which is crucial in a high-volume setting like Mumbai. Patient recovery times are generally short, and post-operative care instructions are clearly communicated. The use of advanced surgical equipment and adherence to sterile protocols are commendable, ensuring patient safety and optimal outcomes.</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quality healthcare, and the Ophthalmologist excels in this area. The review highlights the Ophthalmologist's ability to explain complex medical conditions and treatment options in a manner that is easily understood by patients from diverse linguistic and educational backgrounds. This is particularly important in Mumbai, where patients may speak various languages, including Marathi, Hindi, Gujarati, and English.</w:t>
      </w:r>
    </w:p>
    <w:p>
      <w:pPr>
        <w:pStyle w:val="BodyText"/>
      </w:pPr>
      <w:r>
        <w:t xml:space="preserve">Patient feedback indicates a high level of satisfaction with the Ophthalmologist's bedside manner and empathy. The Ophthalmologist takes the time to address patient concerns and involves them in decision-making processes, fostering a sense of trust and collaboration. Follow-up care is systematic, ensuring that patients receive continuous support throughout their treatment journey.</w:t>
      </w:r>
    </w:p>
    <w:bookmarkEnd w:id="24"/>
    <w:bookmarkStart w:id="25" w:name="professional-conduct-and-ethics"/>
    <w:p>
      <w:pPr>
        <w:pStyle w:val="Heading2"/>
      </w:pPr>
      <w:r>
        <w:t xml:space="preserve">5. Professional Conduct and Ethics</w:t>
      </w:r>
    </w:p>
    <w:p>
      <w:pPr>
        <w:pStyle w:val="FirstParagraph"/>
      </w:pPr>
      <w:r>
        <w:t xml:space="preserve">The Ophthalmologist adheres strictly to the ethical guidelines outlined by the NMC and the Maharashtra Medical Council. There are no recorded instances of professional misconduct, negligence, or unethical behavior. The Ophthalmologist maintains confidentiality of patient information and respects patient autonomy in all clinical interactions.</w:t>
      </w:r>
    </w:p>
    <w:p>
      <w:pPr>
        <w:pStyle w:val="BodyText"/>
      </w:pPr>
      <w:r>
        <w:t xml:space="preserve">Collaboration with other healthcare professionals is a strength of the Ophthalmologist's practice. The Ophthalmologist actively participates in multidisciplinary team meetings and consults with colleagues when necessary, ensuring comprehensive care for patients with complex medical histories. This collaborative approach is essential in a metropolitan city like Mumbai, where patients often have multiple comorbidities.</w:t>
      </w:r>
    </w:p>
    <w:bookmarkEnd w:id="25"/>
    <w:bookmarkStart w:id="26" w:name="continuous-professional-development"/>
    <w:p>
      <w:pPr>
        <w:pStyle w:val="Heading2"/>
      </w:pPr>
      <w:r>
        <w:t xml:space="preserve">6. Continuous Professional Development</w:t>
      </w:r>
    </w:p>
    <w:p>
      <w:pPr>
        <w:pStyle w:val="FirstParagraph"/>
      </w:pPr>
      <w:r>
        <w:t xml:space="preserve">The Ophthalmologist is committed to continuous learning and professional development. The review notes regular attendance at national and international ophthalmology conferences, workshops, and seminars. The Ophthalmologist has also pursued additional certifications in specialized areas such as pediatric ophthalmology and ocular oncology, enhancing their expertise and ability to provide advanced care.</w:t>
      </w:r>
    </w:p>
    <w:p>
      <w:pPr>
        <w:pStyle w:val="BodyText"/>
      </w:pPr>
      <w:r>
        <w:t xml:space="preserve">Engagement with the medical community in Mumbai is evident through participation in local medical associations and contribution to research projects. The Ophthalmologist's dedication to staying updated with the latest advancements in ophthalmology ensures that patients receive care based on the most current evidence and best practices.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high standards of clinical practice and surgical proficiency.</w:t>
      </w:r>
    </w:p>
    <w:p>
      <w:pPr>
        <w:numPr>
          <w:ilvl w:val="0"/>
          <w:numId w:val="1001"/>
        </w:numPr>
        <w:pStyle w:val="Compact"/>
      </w:pPr>
      <w:r>
        <w:t xml:space="preserve">Explore opportunities for further specialization in emerging areas of ophthalmology.</w:t>
      </w:r>
    </w:p>
    <w:p>
      <w:pPr>
        <w:numPr>
          <w:ilvl w:val="0"/>
          <w:numId w:val="1001"/>
        </w:numPr>
        <w:pStyle w:val="Compact"/>
      </w:pPr>
      <w:r>
        <w:t xml:space="preserve">Enhance patient education initiatives to address the growing prevalence of lifestyle-related eye diseases in Mumbai.</w:t>
      </w:r>
    </w:p>
    <w:p>
      <w:pPr>
        <w:numPr>
          <w:ilvl w:val="0"/>
          <w:numId w:val="1001"/>
        </w:numPr>
        <w:pStyle w:val="Compact"/>
      </w:pPr>
      <w:r>
        <w:t xml:space="preserve">Consider mentoring junior ophthalmologists to contribute to the development of the next generation of eye care professionals in India.</w:t>
      </w:r>
    </w:p>
    <w:bookmarkEnd w:id="27"/>
    <w:bookmarkStart w:id="28" w:name="conclusion"/>
    <w:p>
      <w:pPr>
        <w:pStyle w:val="Heading2"/>
      </w:pPr>
      <w:r>
        <w:t xml:space="preserve">8. Conclusion</w:t>
      </w:r>
    </w:p>
    <w:p>
      <w:pPr>
        <w:pStyle w:val="FirstParagraph"/>
      </w:pPr>
      <w:r>
        <w:t xml:space="preserve">In conclusion, the Ophthalmologist under review demonstrates exceptional clinical competence, surgical skill, and professional integrity. Their practice aligns with the highest standards of ophthalmic care and contributes significantly to the healthcare landscape of Mumbai, India. The Ophthalmologist's commitment to patient-centered care, continuous learning, and ethical practice makes them a valuable asset to the medical community. This Peer Review Report affirms the Ophthalmologist's suitability to continue practicing at their current level of responsibility and recommends no restrictions on their clinical activities.</w:t>
      </w:r>
    </w:p>
    <w:bookmarkEnd w:id="28"/>
    <w:p>
      <w:pPr>
        <w:pStyle w:val="BodyText"/>
      </w:pPr>
      <w:r>
        <w:rPr>
          <w:bCs/>
          <w:b/>
        </w:rPr>
        <w:t xml:space="preserve">Prepared by:</w:t>
      </w:r>
    </w:p>
    <w:p>
      <w:pPr>
        <w:pStyle w:val="BodyText"/>
      </w:pPr>
      <w:r>
        <w:t xml:space="preserve">Dr. Rajesh Kumar</w:t>
      </w:r>
    </w:p>
    <w:p>
      <w:pPr>
        <w:pStyle w:val="BodyText"/>
      </w:pPr>
      <w:r>
        <w:t xml:space="preserve">Senior Ophthalmologist</w:t>
      </w:r>
    </w:p>
    <w:p>
      <w:pPr>
        <w:pStyle w:val="BodyText"/>
      </w:pPr>
      <w:r>
        <w:t xml:space="preserve">Independent Medical Peer Review Committee</w:t>
      </w:r>
    </w:p>
    <w:p>
      <w:pPr>
        <w:pStyle w:val="BodyText"/>
      </w:pPr>
      <w:r>
        <w:t xml:space="preserve">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Mumbai, India</dc:title>
  <dc:creator/>
  <dc:language>en</dc:language>
  <cp:keywords/>
  <dcterms:created xsi:type="dcterms:W3CDTF">2026-10-10T03:51:02Z</dcterms:created>
  <dcterms:modified xsi:type="dcterms:W3CDTF">2026-10-10T03:51:02Z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