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Indonesia Jakarta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adherence to medical standards of a practicing Ophthalmologist within the healthcare ecosystem of Indonesia Jakarta. The review process is conducted in accordance with the guidelines established by the Indonesian Ophthalmological Association (PERDOSI) and the Indonesian Medical Council (Konsil Kedokteran Indonesia). The primary objective is to ensure that the ophthalmic care provided meets the rigorous safety and quality standards expected in a major metropolitan hub like Jakarta, where patient volume and case complexity are significantly high.</w:t>
      </w:r>
    </w:p>
    <w:p>
      <w:pPr>
        <w:pStyle w:val="BodyText"/>
      </w:pPr>
      <w:r>
        <w:t xml:space="preserve">The scope of this review encompasses a comprehensive analysis of surgical outcomes, diagnostic accuracy, patient management protocols, and ethical compliance. Given the dynamic nature of ophthalmology, this report also assesses the physician's integration of modern technologies and evidence-based practices prevalent in the region.</w:t>
      </w:r>
    </w:p>
    <w:bookmarkEnd w:id="21"/>
    <w:bookmarkStart w:id="22" w:name="practitioner-profile-and-credentials"/>
    <w:p>
      <w:pPr>
        <w:pStyle w:val="Heading2"/>
      </w:pPr>
      <w:r>
        <w:t xml:space="preserve">2. Practitioner Profile and Credentials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Dr. [Name Redacted for Confidentiality]</w:t>
            </w:r>
          </w:p>
        </w:tc>
      </w:tr>
      <w:tr>
        <w:tc>
          <w:tcPr/>
          <w:p>
            <w:pPr>
              <w:pStyle w:val="Compact"/>
              <w:jc w:val="left"/>
            </w:pPr>
            <w:r>
              <w:t xml:space="preserve">Specialty</w:t>
            </w:r>
          </w:p>
        </w:tc>
        <w:tc>
          <w:tcPr/>
          <w:p>
            <w:pPr>
              <w:pStyle w:val="Compact"/>
              <w:jc w:val="left"/>
            </w:pPr>
            <w:r>
              <w:t xml:space="preserve">Ophthalmologist (Sp.M)</w:t>
            </w:r>
          </w:p>
        </w:tc>
      </w:tr>
      <w:tr>
        <w:tc>
          <w:tcPr/>
          <w:p>
            <w:pPr>
              <w:pStyle w:val="Compact"/>
              <w:jc w:val="left"/>
            </w:pPr>
            <w:r>
              <w:t xml:space="preserve">Licensure</w:t>
            </w:r>
          </w:p>
        </w:tc>
        <w:tc>
          <w:tcPr/>
          <w:p>
            <w:pPr>
              <w:pStyle w:val="Compact"/>
              <w:jc w:val="left"/>
            </w:pPr>
            <w:r>
              <w:t xml:space="preserve">Active STR (Surat Tanda Registrasi) and SIP (Surat Izin Praktik)</w:t>
            </w:r>
          </w:p>
        </w:tc>
      </w:tr>
      <w:tr>
        <w:tc>
          <w:tcPr/>
          <w:p>
            <w:pPr>
              <w:pStyle w:val="Compact"/>
              <w:jc w:val="left"/>
            </w:pPr>
            <w:r>
              <w:t xml:space="preserve">Practice Location</w:t>
            </w:r>
          </w:p>
        </w:tc>
        <w:tc>
          <w:tcPr/>
          <w:p>
            <w:pPr>
              <w:pStyle w:val="Compact"/>
              <w:jc w:val="left"/>
            </w:pPr>
            <w:r>
              <w:t xml:space="preserve">Central Jakarta, Indonesia</w:t>
            </w:r>
          </w:p>
        </w:tc>
      </w:tr>
      <w:tr>
        <w:tc>
          <w:tcPr/>
          <w:p>
            <w:pPr>
              <w:pStyle w:val="Compact"/>
              <w:jc w:val="left"/>
            </w:pPr>
            <w:r>
              <w:t xml:space="preserve">Years of Experience</w:t>
            </w:r>
          </w:p>
        </w:tc>
        <w:tc>
          <w:tcPr/>
          <w:p>
            <w:pPr>
              <w:pStyle w:val="Compact"/>
              <w:jc w:val="left"/>
            </w:pPr>
            <w:r>
              <w:t xml:space="preserve">12 Years</w:t>
            </w:r>
          </w:p>
        </w:tc>
      </w:tr>
    </w:tbl>
    <w:bookmarkEnd w:id="22"/>
    <w:bookmarkStart w:id="23" w:name="X7628a930b95d0519595dceca7f34507d476d211"/>
    <w:p>
      <w:pPr>
        <w:pStyle w:val="Heading2"/>
      </w:pPr>
      <w:r>
        <w:t xml:space="preserve">3. Clinical Competency and Surgical Performance</w:t>
      </w:r>
    </w:p>
    <w:p>
      <w:pPr>
        <w:pStyle w:val="FirstParagraph"/>
      </w:pPr>
      <w:r>
        <w:t xml:space="preserve">The evaluation of the Ophthalmologist's clinical skills focused heavily on high-volume procedures common in Indonesia Jakarta, including cataract surgery, refractive surgery, and glaucoma management. The review panel analyzed a random sample of 150 surgical cases over the past 18 months.</w:t>
      </w:r>
    </w:p>
    <w:p>
      <w:pPr>
        <w:pStyle w:val="BodyText"/>
      </w:pPr>
      <w:r>
        <w:rPr>
          <w:bCs/>
          <w:b/>
        </w:rPr>
        <w:t xml:space="preserve">Cataract Surgery:</w:t>
      </w:r>
      <w:r>
        <w:t xml:space="preserve"> </w:t>
      </w:r>
      <w:r>
        <w:t xml:space="preserve">The physician demonstrates a high level of proficiency in phacoemulsification. The rate of posterior capsule rupture was found to be well below the national average, indicating excellent surgical technique. The use of premium intraocular lenses (IOLs) is handled with appropriate patient counseling, ensuring informed consent is thoroughly documented.</w:t>
      </w:r>
    </w:p>
    <w:p>
      <w:pPr>
        <w:pStyle w:val="BodyText"/>
      </w:pPr>
      <w:r>
        <w:rPr>
          <w:bCs/>
          <w:b/>
        </w:rPr>
        <w:t xml:space="preserve">Glaucoma Management:</w:t>
      </w:r>
      <w:r>
        <w:t xml:space="preserve"> </w:t>
      </w:r>
      <w:r>
        <w:t xml:space="preserve">In the context of Jakarta's aging population, glaucoma care is critical. The Ophthalmologist adheres strictly to the Standard of Practice for Glaucoma, utilizing advanced imaging technologies such as Optical Coherence Tomography (OCT) and visual field testing. The management of intraocular pressure is consistent with international guidelines, and the transition from medical to surgical intervention is timely and well-justified.</w:t>
      </w:r>
    </w:p>
    <w:p>
      <w:pPr>
        <w:pStyle w:val="BodyText"/>
      </w:pPr>
      <w:r>
        <w:rPr>
          <w:bCs/>
          <w:b/>
        </w:rPr>
        <w:t xml:space="preserve">Diagnostic Accuracy:</w:t>
      </w:r>
      <w:r>
        <w:t xml:space="preserve"> </w:t>
      </w:r>
      <w:r>
        <w:t xml:space="preserve">The review confirms that diagnostic protocols for retinal diseases, including diabetic retinopathy—a prevalent condition in Indonesia—are robust. The physician maintains a low rate of misdiagnosis and ensures timely referrals for complex cases requiring subspecialty intervention.</w:t>
      </w:r>
    </w:p>
    <w:bookmarkEnd w:id="23"/>
    <w:bookmarkStart w:id="24" w:name="patient-safety-and-infection-control"/>
    <w:p>
      <w:pPr>
        <w:pStyle w:val="Heading2"/>
      </w:pPr>
      <w:r>
        <w:t xml:space="preserve">4. Patient Safety and Infection Control</w:t>
      </w:r>
    </w:p>
    <w:p>
      <w:pPr>
        <w:pStyle w:val="FirstParagraph"/>
      </w:pPr>
      <w:r>
        <w:t xml:space="preserve">Patient safety is paramount in any medical practice, particularly in a densely populated urban environment like Indonesia Jakarta. The Peer Review Report highlights the Ophthalmologist's strict adherence to infection control protocols. The surgical suite maintains sterile environments compliant with hospital accreditation standards.</w:t>
      </w:r>
    </w:p>
    <w:p>
      <w:pPr>
        <w:pStyle w:val="BodyText"/>
      </w:pPr>
      <w:r>
        <w:t xml:space="preserve">There were no reported cases of post-operative endophthalmitis attributable to procedural negligence during the review period. The physician ensures that all surgical instruments are sterilized according to strict guidelines and that antibiotic prophylaxis is administered appropriately. Furthermore, the management of medical waste is conducted in accordance with Indonesian environmental and health regulations.</w:t>
      </w:r>
    </w:p>
    <w:bookmarkEnd w:id="24"/>
    <w:bookmarkStart w:id="25" w:name="professional-conduct-and-ethics"/>
    <w:p>
      <w:pPr>
        <w:pStyle w:val="Heading2"/>
      </w:pPr>
      <w:r>
        <w:t xml:space="preserve">5. Professional Conduct and Ethics</w:t>
      </w:r>
    </w:p>
    <w:p>
      <w:pPr>
        <w:pStyle w:val="FirstParagraph"/>
      </w:pPr>
      <w:r>
        <w:t xml:space="preserve">The ethical dimension of the Ophthalmologist's practice was assessed through patient feedback, colleague interviews, and a review of medical records. The physician demonstrates a high degree of professionalism, maintaining confidentiality and respecting patient autonomy.</w:t>
      </w:r>
    </w:p>
    <w:p>
      <w:pPr>
        <w:pStyle w:val="BodyText"/>
      </w:pPr>
      <w:r>
        <w:t xml:space="preserve">Informed consent processes are thorough, with clear explanations of risks, benefits, and alternatives provided in a language accessible to the patient. The Ophthalmologist avoids unnecessary procedures and ensures that financial considerations do not compromise clinical judgment. This is particularly relevant in the private healthcare sector of Jakarta, where there is a wide range of treatment options available.</w:t>
      </w:r>
    </w:p>
    <w:bookmarkEnd w:id="25"/>
    <w:bookmarkStart w:id="26" w:name="X9c357ae88e351c43b4d1958da4c217ceac58886"/>
    <w:p>
      <w:pPr>
        <w:pStyle w:val="Heading2"/>
      </w:pPr>
      <w:r>
        <w:t xml:space="preserve">6. Continuing Medical Education and Professional Development</w:t>
      </w:r>
    </w:p>
    <w:p>
      <w:pPr>
        <w:pStyle w:val="FirstParagraph"/>
      </w:pPr>
      <w:r>
        <w:t xml:space="preserve">The field of ophthalmology is rapidly evolving, and continuous learning is essential. The reviewed Ophthalmologist actively participates in continuing medical education (CME) programs, including workshops and conferences organized by PERDOSI and international bodies. The physician has recently completed training in advanced vitreoretinal surgery, demonstrating a commitment to expanding their skill set and providing cutting-edge care to patients in Indonesia Jakarta.</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Maintain current standards of surgical excellence and infection control.</w:t>
      </w:r>
    </w:p>
    <w:p>
      <w:pPr>
        <w:numPr>
          <w:ilvl w:val="0"/>
          <w:numId w:val="1001"/>
        </w:numPr>
        <w:pStyle w:val="Compact"/>
      </w:pPr>
      <w:r>
        <w:t xml:space="preserve">Continue to engage in regular CME activities to stay abreast of advancements in ophthalmic technology.</w:t>
      </w:r>
    </w:p>
    <w:p>
      <w:pPr>
        <w:numPr>
          <w:ilvl w:val="0"/>
          <w:numId w:val="1001"/>
        </w:numPr>
        <w:pStyle w:val="Compact"/>
      </w:pPr>
      <w:r>
        <w:t xml:space="preserve">Enhance patient education materials regarding post-operative care, particularly for cataract and refractive surgery patients.</w:t>
      </w:r>
    </w:p>
    <w:p>
      <w:pPr>
        <w:numPr>
          <w:ilvl w:val="0"/>
          <w:numId w:val="1001"/>
        </w:numPr>
        <w:pStyle w:val="Compact"/>
      </w:pPr>
      <w:r>
        <w:t xml:space="preserve">Consider implementing a more structured follow-up system for glaucoma patients to improve long-term monitoring.</w:t>
      </w:r>
    </w:p>
    <w:bookmarkEnd w:id="27"/>
    <w:bookmarkStart w:id="28" w:name="conclusion"/>
    <w:p>
      <w:pPr>
        <w:pStyle w:val="Heading2"/>
      </w:pPr>
      <w:r>
        <w:t xml:space="preserve">8. Conclusion</w:t>
      </w:r>
    </w:p>
    <w:p>
      <w:pPr>
        <w:pStyle w:val="FirstParagraph"/>
      </w:pPr>
      <w:r>
        <w:t xml:space="preserve">This Peer Review Report concludes that the Ophthalmologist under review demonstrates a high level of clinical competence, professional integrity, and commitment to patient safety. The physician's practice aligns with the standards expected of a specialist in Indonesia Jakarta and contributes positively to the healthcare landscape of the region. The review panel recommends the continuation of the physician's practice with the suggested improvements to further enhance patient care.</w:t>
      </w:r>
    </w:p>
    <w:bookmarkEnd w:id="28"/>
    <w:p>
      <w:pPr>
        <w:pStyle w:val="BodyText"/>
      </w:pPr>
      <w:r>
        <w:rPr>
          <w:bCs/>
          <w:b/>
        </w:rPr>
        <w:t xml:space="preserve">Reviewed by:</w:t>
      </w:r>
    </w:p>
    <w:p>
      <w:pPr>
        <w:pStyle w:val="BodyText"/>
      </w:pPr>
      <w:r>
        <w:t xml:space="preserve">Dr. [Reviewer Name], Sp.M(K)</w:t>
      </w:r>
    </w:p>
    <w:p>
      <w:pPr>
        <w:pStyle w:val="BodyText"/>
      </w:pPr>
      <w:r>
        <w:t xml:space="preserve">Board Member, Indonesian Ophthalmological Association (PERDOSI)</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Indonesia Jakarta</dc:title>
  <dc:creator/>
  <dc:language>en</dc:language>
  <cp:keywords/>
  <dcterms:created xsi:type="dcterms:W3CDTF">2026-10-10T06:31:42Z</dcterms:created>
  <dcterms:modified xsi:type="dcterms:W3CDTF">2026-10-10T06:31:42Z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