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Iran, Tehran</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Tehran Medical Association - Ophthalmology Board</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administrative compliance of a practicing Ophthalmologist within the healthcare system of Iran, specifically in the metropolitan area of Tehran. The review process adheres to the guidelines set forth by the Iranian Ministry of Health and Medical Education, as well as international best practices for ophthalmic care. The primary objective is to ensure that the physician maintains the highest standards of patient safety, diagnostic accuracy, and surgical proficiency required in a high-volume, advanced medical environment like Tehran.</w:t>
      </w:r>
    </w:p>
    <w:p>
      <w:pPr>
        <w:pStyle w:val="BodyText"/>
      </w:pPr>
      <w:r>
        <w:t xml:space="preserve">The assessment covers a twelve-month period of clinical activity, including patient outcomes, peer feedback, and adherence to local medical regulations. The findings indicate a generally high level of competence, with specific recommendations for improvement in documentation and interdisciplinary collaboration.</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 review is a board-certified Ophthalmologist practicing in a major tertiary care hospital in Tehran. The physician’s scope of practice includes comprehensive eye care, refractive surgery, cataract management, and the treatment of retinal diseases. Given the demographic density of Tehran and the prevalence of age-related macular degeneration and diabetic retinopathy in the region, the volume of cases handled by this Ophthalmologist is substantial.</w:t>
      </w:r>
    </w:p>
    <w:p>
      <w:pPr>
        <w:pStyle w:val="BodyText"/>
      </w:pPr>
      <w:r>
        <w:t xml:space="preserve">The review committee examined the physician’s credentials, including their residency training at a recognized medical university in Iran and any subsequent fellowships. The practitioner is in good standing with the Tehran Medical Council and holds an active license to practice ophthalmology in the Islamic Republic of Iran.</w:t>
      </w:r>
    </w:p>
    <w:bookmarkEnd w:id="22"/>
    <w:bookmarkStart w:id="26" w:name="Xb39e2b1c07cff142596ea668f9b1cb5137b2d3c"/>
    <w:p>
      <w:pPr>
        <w:pStyle w:val="Heading2"/>
      </w:pPr>
      <w:r>
        <w:t xml:space="preserve">3. Clinical Competency and Surgical Outcomes</w:t>
      </w:r>
    </w:p>
    <w:bookmarkStart w:id="23" w:name="diagnostic-accuracy"/>
    <w:p>
      <w:pPr>
        <w:pStyle w:val="Heading3"/>
      </w:pPr>
      <w:r>
        <w:t xml:space="preserve">3.1 Diagnostic Accuracy</w:t>
      </w:r>
    </w:p>
    <w:p>
      <w:pPr>
        <w:pStyle w:val="FirstParagraph"/>
      </w:pPr>
      <w:r>
        <w:t xml:space="preserve">A random sample of 150 patient files was reviewed to assess diagnostic accuracy. The Ophthalmologist demonstrated a strong command of diagnostic tools, including Optical Coherence Tomography (OCT), visual field testing, and fundus photography. The correlation between initial diagnoses and final outcomes was found to be 94%, which exceeds the national average for similar practices in Tehran.</w:t>
      </w:r>
    </w:p>
    <w:bookmarkEnd w:id="23"/>
    <w:bookmarkStart w:id="24" w:name="surgical-performance"/>
    <w:p>
      <w:pPr>
        <w:pStyle w:val="Heading3"/>
      </w:pPr>
      <w:r>
        <w:t xml:space="preserve">3.2 Surgical Performance</w:t>
      </w:r>
    </w:p>
    <w:p>
      <w:pPr>
        <w:pStyle w:val="FirstParagraph"/>
      </w:pPr>
      <w:r>
        <w:t xml:space="preserve">Surgical records for cataract extractions and LASIK procedures were analyzed. The complication rate was recorded at 1.2%, which is within the acceptable range for high-volume centers in Iran. Post-operative care protocols were followed diligently, with a low rate of patient readmission due to surgical errors. The use of modern phacoemulsification techniques aligns with current standards in Tehran’s leading eye hospitals.</w:t>
      </w:r>
    </w:p>
    <w:bookmarkEnd w:id="24"/>
    <w:bookmarkStart w:id="25" w:name="management-of-chronic-conditions"/>
    <w:p>
      <w:pPr>
        <w:pStyle w:val="Heading3"/>
      </w:pPr>
      <w:r>
        <w:t xml:space="preserve">3.3 Management of Chronic Conditions</w:t>
      </w:r>
    </w:p>
    <w:p>
      <w:pPr>
        <w:pStyle w:val="FirstParagraph"/>
      </w:pPr>
      <w:r>
        <w:t xml:space="preserve">The management of diabetic retinopathy and glaucoma was evaluated. The Ophthalmologist showed proficiency in administering intravitreal injections and managing intraocular pressure. However, the review noted occasional delays in referring complex cases to retinal specialists, which could be improved to optimize patient outcomes.</w:t>
      </w:r>
    </w:p>
    <w:bookmarkEnd w:id="25"/>
    <w:bookmarkEnd w:id="26"/>
    <w:bookmarkStart w:id="27" w:name="patient-care-and-communication"/>
    <w:p>
      <w:pPr>
        <w:pStyle w:val="Heading2"/>
      </w:pPr>
      <w:r>
        <w:t xml:space="preserve">4. Patient Care and Communication</w:t>
      </w:r>
    </w:p>
    <w:p>
      <w:pPr>
        <w:pStyle w:val="FirstParagraph"/>
      </w:pPr>
      <w:r>
        <w:t xml:space="preserve">Patient satisfaction surveys conducted within the clinic in Tehran indicated a high level of trust and satisfaction. Patients praised the Ophthalmologist’s bedside manner, clarity in explaining treatment options, and respect for cultural and religious sensitivities, which are crucial aspects of healthcare delivery in Iran.</w:t>
      </w:r>
    </w:p>
    <w:p>
      <w:pPr>
        <w:pStyle w:val="BodyText"/>
      </w:pPr>
      <w:r>
        <w:t xml:space="preserve">The review committee also assessed informed consent processes. While the majority of consent forms were properly completed, there were instances where the explanation of surgical risks was not documented in sufficient detail. It is recommended that the physician enhance the documentation of risk-benefit discussions to ensure full legal and ethical compliance.</w:t>
      </w:r>
    </w:p>
    <w:bookmarkEnd w:id="27"/>
    <w:bookmarkStart w:id="28" w:name="X4ce211acb8b02978b825403f312638d11fa1afd"/>
    <w:p>
      <w:pPr>
        <w:pStyle w:val="Heading2"/>
      </w:pPr>
      <w:r>
        <w:t xml:space="preserve">5. Ethical Standards and Professional Conduct</w:t>
      </w:r>
    </w:p>
    <w:p>
      <w:pPr>
        <w:pStyle w:val="FirstParagraph"/>
      </w:pPr>
      <w:r>
        <w:t xml:space="preserve">The Ophthalmologist was evaluated against the Code of Medical Ethics of the Iranian Medical Council. No violations regarding patient confidentiality, conflicts of interest, or professional misconduct were identified. The physician maintains appropriate boundaries with patients and colleagues.</w:t>
      </w:r>
    </w:p>
    <w:p>
      <w:pPr>
        <w:pStyle w:val="BodyText"/>
      </w:pPr>
      <w:r>
        <w:t xml:space="preserve">Financial transparency was also reviewed. The billing practices were found to be consistent with the tariffs set by the Iranian health insurance organizations. There were no indications of overbilling or unnecessary procedures, which is a critical aspect of maintaining public trust in the healthcare system of Tehran.</w:t>
      </w:r>
    </w:p>
    <w:bookmarkEnd w:id="28"/>
    <w:bookmarkStart w:id="29" w:name="continuing-medical-education-cme"/>
    <w:p>
      <w:pPr>
        <w:pStyle w:val="Heading2"/>
      </w:pPr>
      <w:r>
        <w:t xml:space="preserve">6. Continuing Medical Education (CME)</w:t>
      </w:r>
    </w:p>
    <w:p>
      <w:pPr>
        <w:pStyle w:val="FirstParagraph"/>
      </w:pPr>
      <w:r>
        <w:t xml:space="preserve">Lifelong learning is a requirement for all medical practitioners in Iran. The Ophthalmologist has actively participated in CME activities, including conferences hosted by the Iranian Society of Ophthalmology and workshops in Tehran. The physician has completed the required credit hours for the current licensing cycle.</w:t>
      </w:r>
    </w:p>
    <w:p>
      <w:pPr>
        <w:pStyle w:val="BodyText"/>
      </w:pPr>
      <w:r>
        <w:t xml:space="preserve">However, the review suggests that the physician should engage more in international research collaborations to stay abreast of the latest advancements in ophthalmic technology and treatment protocols.</w:t>
      </w:r>
    </w:p>
    <w:bookmarkEnd w:id="29"/>
    <w:bookmarkStart w:id="30" w:name="recommendations"/>
    <w:p>
      <w:pPr>
        <w:pStyle w:val="Heading2"/>
      </w:pPr>
      <w:r>
        <w:t xml:space="preserve">7. Recommendations</w:t>
      </w:r>
    </w:p>
    <w:p>
      <w:pPr>
        <w:pStyle w:val="FirstParagraph"/>
      </w:pPr>
      <w:r>
        <w:t xml:space="preserve">Based on the comprehensive evaluation, the Peer Review Committee provides the following recommendations for the Ophthalmologist:</w:t>
      </w:r>
    </w:p>
    <w:p>
      <w:pPr>
        <w:numPr>
          <w:ilvl w:val="0"/>
          <w:numId w:val="1001"/>
        </w:numPr>
        <w:pStyle w:val="Compact"/>
      </w:pPr>
      <w:r>
        <w:rPr>
          <w:bCs/>
          <w:b/>
        </w:rPr>
        <w:t xml:space="preserve">Enhance Documentation:</w:t>
      </w:r>
      <w:r>
        <w:t xml:space="preserve"> </w:t>
      </w:r>
      <w:r>
        <w:t xml:space="preserve">Improve the detail and consistency of clinical notes, particularly regarding informed consent and risk discussions.</w:t>
      </w:r>
    </w:p>
    <w:p>
      <w:pPr>
        <w:numPr>
          <w:ilvl w:val="0"/>
          <w:numId w:val="1001"/>
        </w:numPr>
        <w:pStyle w:val="Compact"/>
      </w:pPr>
      <w:r>
        <w:rPr>
          <w:bCs/>
          <w:b/>
        </w:rPr>
        <w:t xml:space="preserve">Interdisciplinary Referrals:</w:t>
      </w:r>
      <w:r>
        <w:t xml:space="preserve"> </w:t>
      </w:r>
      <w:r>
        <w:t xml:space="preserve">Establish a more proactive protocol for referring complex retinal cases to specialists to ensure timely intervention.</w:t>
      </w:r>
    </w:p>
    <w:p>
      <w:pPr>
        <w:numPr>
          <w:ilvl w:val="0"/>
          <w:numId w:val="1001"/>
        </w:numPr>
        <w:pStyle w:val="Compact"/>
      </w:pPr>
      <w:r>
        <w:rPr>
          <w:bCs/>
          <w:b/>
        </w:rPr>
        <w:t xml:space="preserve">Research Engagement:</w:t>
      </w:r>
      <w:r>
        <w:t xml:space="preserve"> </w:t>
      </w:r>
      <w:r>
        <w:t xml:space="preserve">Increase participation in clinical research and international ophthalmic forums to further elevate clinical expertise.</w:t>
      </w:r>
    </w:p>
    <w:p>
      <w:pPr>
        <w:numPr>
          <w:ilvl w:val="0"/>
          <w:numId w:val="1001"/>
        </w:numPr>
        <w:pStyle w:val="Compact"/>
      </w:pPr>
      <w:r>
        <w:rPr>
          <w:bCs/>
          <w:b/>
        </w:rPr>
        <w:t xml:space="preserve">Quality Assurance:</w:t>
      </w:r>
      <w:r>
        <w:t xml:space="preserve"> </w:t>
      </w:r>
      <w:r>
        <w:t xml:space="preserve">Implement a regular self-audit of surgical outcomes to maintain and improve the low complication rate.</w:t>
      </w:r>
    </w:p>
    <w:bookmarkEnd w:id="30"/>
    <w:bookmarkStart w:id="31" w:name="conclusion"/>
    <w:p>
      <w:pPr>
        <w:pStyle w:val="Heading2"/>
      </w:pPr>
      <w:r>
        <w:t xml:space="preserve">8. Conclusion</w:t>
      </w:r>
    </w:p>
    <w:p>
      <w:pPr>
        <w:pStyle w:val="FirstParagraph"/>
      </w:pPr>
      <w:r>
        <w:t xml:space="preserve">In conclusion, this Peer Review Report affirms that the Ophthalmologist in question is a competent and ethical practitioner who meets the rigorous standards expected in the healthcare landscape of Iran, Tehran. The physician demonstrates strong clinical skills, a commitment to patient care, and adherence to professional guidelines. By addressing the minor areas of improvement identified in this report, the Ophthalmologist can further enhance the quality of care provided to the community.</w:t>
      </w:r>
    </w:p>
    <w:p>
      <w:pPr>
        <w:pStyle w:val="BodyText"/>
      </w:pPr>
      <w:r>
        <w:t xml:space="preserve">The review committee recommends the renewal of the physician’s clinical privileges and encourages continued professional development. This report serves as a formal record of the physician’s performance and commitment to excellence in ophthalmology.</w:t>
      </w:r>
    </w:p>
    <w:bookmarkEnd w:id="31"/>
    <w:p>
      <w:pPr>
        <w:pStyle w:val="BodyText"/>
      </w:pPr>
      <w:r>
        <w:rPr>
          <w:iCs/>
          <w:i/>
        </w:rPr>
        <w:t xml:space="preserve">End of Report</w:t>
      </w:r>
    </w:p>
    <w:p>
      <w:pPr>
        <w:pStyle w:val="BodyText"/>
      </w:pPr>
      <w:r>
        <w:rPr>
          <w:bCs/>
          <w:b/>
        </w:rPr>
        <w:t xml:space="preserve">Prepared by:</w:t>
      </w:r>
      <w:r>
        <w:t xml:space="preserve"> </w:t>
      </w:r>
      <w:r>
        <w:t xml:space="preserve">Peer Review Committee, Tehran Medical Association</w:t>
      </w:r>
    </w:p>
    <w:p>
      <w:pPr>
        <w:pStyle w:val="BodyText"/>
      </w:pPr>
      <w:r>
        <w:rPr>
          <w:bCs/>
          <w:b/>
        </w:rPr>
        <w:t xml:space="preserve">Confidentiality Notice:</w:t>
      </w:r>
      <w:r>
        <w:t xml:space="preserve"> </w:t>
      </w:r>
      <w:r>
        <w:t xml:space="preserve">This document contains sensitive medical and professional information.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Iran, Tehran</dc:title>
  <dc:creator/>
  <dc:language>en</dc:language>
  <cp:keywords/>
  <dcterms:created xsi:type="dcterms:W3CDTF">2026-10-10T03:48:07Z</dcterms:created>
  <dcterms:modified xsi:type="dcterms:W3CDTF">2026-10-10T03:48:07Z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