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Israel</w:t>
      </w:r>
      <w:r>
        <w:t xml:space="preserve"> </w:t>
      </w:r>
      <w:r>
        <w:t xml:space="preserve">Tel</w:t>
      </w:r>
      <w:r>
        <w:t xml:space="preserve"> </w:t>
      </w:r>
      <w:r>
        <w:t xml:space="preserve">Aviv</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Professional Competency Assessment</w:t>
      </w:r>
    </w:p>
    <w:p>
      <w:pPr>
        <w:pStyle w:val="BodyText"/>
      </w:pPr>
      <w:r>
        <w:rPr>
          <w:bCs/>
          <w:b/>
        </w:rPr>
        <w:t xml:space="preserve">Specialty:</w:t>
      </w:r>
      <w:r>
        <w:t xml:space="preserve"> </w:t>
      </w:r>
      <w:r>
        <w:t xml:space="preserve">Ophthalmology</w:t>
      </w:r>
    </w:p>
    <w:p>
      <w:pPr>
        <w:pStyle w:val="BodyText"/>
      </w:pPr>
      <w:r>
        <w:rPr>
          <w:bCs/>
          <w:b/>
        </w:rPr>
        <w:t xml:space="preserve">Location:</w:t>
      </w:r>
      <w:r>
        <w:t xml:space="preserve"> </w:t>
      </w:r>
      <w:r>
        <w:t xml:space="preserve">Israel Tel Aviv</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practice, surgical proficiency, and patient care standards of a practicing Ophthalmologist within the healthcare infrastructure of Israel Tel Aviv. The review process adheres to the rigorous guidelines established by the Israeli Medical Association and the Ministry of Health. The primary objective is to ensure that the specialist maintains the highest standards of ocular health management, particularly given the high volume of complex cases and advanced surgical procedures performed in this metropolitan region.</w:t>
      </w:r>
    </w:p>
    <w:p>
      <w:pPr>
        <w:pStyle w:val="BodyText"/>
      </w:pPr>
      <w:r>
        <w:t xml:space="preserve">The assessment covers a twelve-month period of practice, analyzing medical records, surgical outcomes, peer feedback, and adherence to local and international protocols. The findings indicate a generally high level of competency, with specific areas identified for continuous improvement regarding documentation and interdisciplinary communication.</w:t>
      </w:r>
    </w:p>
    <w:bookmarkEnd w:id="21"/>
    <w:bookmarkStart w:id="22" w:name="X6f6d8d8ffcf3aa95c70f273d3a05cc874ff8c55"/>
    <w:p>
      <w:pPr>
        <w:pStyle w:val="Heading2"/>
      </w:pPr>
      <w:r>
        <w:t xml:space="preserve">2. Clinical Competency and Diagnostic Accuracy</w:t>
      </w:r>
    </w:p>
    <w:p>
      <w:pPr>
        <w:pStyle w:val="FirstParagraph"/>
      </w:pPr>
      <w:r>
        <w:t xml:space="preserve">The Ophthalmologist under review demonstrates a robust command of diagnostic methodologies essential for modern eye care. In the context of Israel Tel Aviv, where patients often present with advanced stages of ocular disease due to referrals from surrounding areas, the ability to accurately diagnose conditions such as glaucoma, macular degeneration, and diabetic retinopathy is critical.</w:t>
      </w:r>
    </w:p>
    <w:p>
      <w:pPr>
        <w:pStyle w:val="BodyText"/>
      </w:pPr>
      <w:r>
        <w:t xml:space="preserve">The review of 150 random patient files reveals a diagnostic accuracy rate of 96%. The specialist effectively utilizes advanced imaging technologies, including Optical Coherence Tomography (OCT) and fundus photography, which are standard in top-tier clinics in Tel Aviv. The interpretation of these images aligns with current international standards. Furthermore, the Ophthalmologist shows particular strength in managing complex refractive errors, a common request among the diverse demographic in Israel Tel Aviv.</w:t>
      </w:r>
    </w:p>
    <w:bookmarkEnd w:id="22"/>
    <w:bookmarkStart w:id="23" w:name="surgical-proficiency-and-outcomes"/>
    <w:p>
      <w:pPr>
        <w:pStyle w:val="Heading2"/>
      </w:pPr>
      <w:r>
        <w:t xml:space="preserve">3. Surgical Proficiency and Outcomes</w:t>
      </w:r>
    </w:p>
    <w:p>
      <w:pPr>
        <w:pStyle w:val="FirstParagraph"/>
      </w:pPr>
      <w:r>
        <w:t xml:space="preserve">A significant portion of this Peer Review Report focuses on surgical performance. The Ophthalmologist performs a high volume of cataract surgeries, LASIK procedures, and glaucoma interventions. The surgical outcomes were analyzed against national benchmarks provided by the Israeli Ministry of Health.</w:t>
      </w:r>
    </w:p>
    <w:p>
      <w:pPr>
        <w:pStyle w:val="BodyText"/>
      </w:pPr>
      <w:r>
        <w:t xml:space="preserve">The complication rate for cataract surgeries was found to be 0.8%, which is below the national average of 1.2%. This suggests a high level of technical skill and experience. In the realm of refractive surgery, patient satisfaction surveys indicate a 94% satisfaction rate, with most patients reporting significant improvement in visual acuity. However, the review notes that while surgical outcomes are excellent, the pre-operative counseling regarding potential risks could be more detailed to manage patient expectations more effectively.</w:t>
      </w:r>
    </w:p>
    <w:bookmarkEnd w:id="23"/>
    <w:bookmarkStart w:id="24" w:name="patient-care-and-communication"/>
    <w:p>
      <w:pPr>
        <w:pStyle w:val="Heading2"/>
      </w:pPr>
      <w:r>
        <w:t xml:space="preserve">4. Patient Care and Communication</w:t>
      </w:r>
    </w:p>
    <w:p>
      <w:pPr>
        <w:pStyle w:val="FirstParagraph"/>
      </w:pPr>
      <w:r>
        <w:t xml:space="preserve">Effective communication is a cornerstone of medical practice, especially in a multicultural hub like Israel Tel Aviv. The Ophthalmologist is commended for their empathetic approach and ability to explain complex medical conditions in layman's terms. Feedback from patients highlights the doctor's patience and willingness to answer questions thoroughly.</w:t>
      </w:r>
    </w:p>
    <w:p>
      <w:pPr>
        <w:pStyle w:val="BodyText"/>
      </w:pPr>
      <w:r>
        <w:t xml:space="preserve">However, the Peer Review Report identifies a need for improvement in the management of waiting times. Due to the high demand for ophthalmic services in Tel Aviv, patients occasionally experience delays. While this is partly systemic, the Ophthalmologist could implement better triage protocols to prioritize urgent cases and reduce overall wait times. Additionally, ensuring that medical interpreters are readily available for non-Hebrew and non-English speaking patients is recommended to enhance inclusivity.</w:t>
      </w:r>
    </w:p>
    <w:bookmarkEnd w:id="24"/>
    <w:bookmarkStart w:id="25" w:name="adherence-to-protocols-and-ethics"/>
    <w:p>
      <w:pPr>
        <w:pStyle w:val="Heading2"/>
      </w:pPr>
      <w:r>
        <w:t xml:space="preserve">5. Adherence to Protocols and Ethics</w:t>
      </w:r>
    </w:p>
    <w:p>
      <w:pPr>
        <w:pStyle w:val="FirstParagraph"/>
      </w:pPr>
      <w:r>
        <w:t xml:space="preserve">The review confirms that the Ophthalmologist strictly adheres to the ethical guidelines set forth by the Israeli Medical Association. There were no instances of malpractice, negligence, or ethical violations during the review period. The specialist maintains up-to-date licensure and participates in mandatory continuing medical education (CME) programs.</w:t>
      </w:r>
    </w:p>
    <w:p>
      <w:pPr>
        <w:pStyle w:val="BodyText"/>
      </w:pPr>
      <w:r>
        <w:t xml:space="preserve">Infection control protocols are meticulously followed, which is crucial in an ophthalmology setting where the risk of post-operative infections can be severe. The sterilization procedures for surgical instruments and the use of single-use materials are in full compliance with hospital regulations in Israel Tel Aviv.</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Enhanced Documentation:</w:t>
      </w:r>
      <w:r>
        <w:t xml:space="preserve"> </w:t>
      </w:r>
      <w:r>
        <w:t xml:space="preserve">Improve the detail and consistency of medical records, particularly regarding patient consent and pre-operative assessments.</w:t>
      </w:r>
    </w:p>
    <w:p>
      <w:pPr>
        <w:numPr>
          <w:ilvl w:val="0"/>
          <w:numId w:val="1001"/>
        </w:numPr>
        <w:pStyle w:val="Compact"/>
      </w:pPr>
      <w:r>
        <w:rPr>
          <w:bCs/>
          <w:b/>
        </w:rPr>
        <w:t xml:space="preserve">Interdisciplinary Collaboration:</w:t>
      </w:r>
      <w:r>
        <w:t xml:space="preserve"> </w:t>
      </w:r>
      <w:r>
        <w:t xml:space="preserve">Increase collaboration with endocrinologists and neurologists to better manage systemic diseases that affect ocular health.</w:t>
      </w:r>
    </w:p>
    <w:p>
      <w:pPr>
        <w:numPr>
          <w:ilvl w:val="0"/>
          <w:numId w:val="1001"/>
        </w:numPr>
        <w:pStyle w:val="Compact"/>
      </w:pPr>
      <w:r>
        <w:rPr>
          <w:bCs/>
          <w:b/>
        </w:rPr>
        <w:t xml:space="preserve">Patient Flow Management:</w:t>
      </w:r>
      <w:r>
        <w:t xml:space="preserve"> </w:t>
      </w:r>
      <w:r>
        <w:t xml:space="preserve">Implement strategies to reduce patient waiting times and improve the overall efficiency of the clinic.</w:t>
      </w:r>
    </w:p>
    <w:p>
      <w:pPr>
        <w:numPr>
          <w:ilvl w:val="0"/>
          <w:numId w:val="1001"/>
        </w:numPr>
        <w:pStyle w:val="Compact"/>
      </w:pPr>
      <w:r>
        <w:rPr>
          <w:bCs/>
          <w:b/>
        </w:rPr>
        <w:t xml:space="preserve">Language Services:</w:t>
      </w:r>
      <w:r>
        <w:t xml:space="preserve"> </w:t>
      </w:r>
      <w:r>
        <w:t xml:space="preserve">Ensure consistent access to professional medical interpreters for patients with limited Hebrew or English proficiency.</w:t>
      </w:r>
    </w:p>
    <w:bookmarkEnd w:id="26"/>
    <w:bookmarkStart w:id="27" w:name="conclusion"/>
    <w:p>
      <w:pPr>
        <w:pStyle w:val="Heading2"/>
      </w:pPr>
      <w:r>
        <w:t xml:space="preserve">7. Conclusion</w:t>
      </w:r>
    </w:p>
    <w:p>
      <w:pPr>
        <w:pStyle w:val="FirstParagraph"/>
      </w:pPr>
      <w:r>
        <w:t xml:space="preserve">In conclusion, this Peer Review Report affirms that the Ophthalmologist in question is a highly competent and dedicated professional. Their contributions to the field of ophthalmology in Israel Tel Aviv are significant, and their surgical and diagnostic skills are of a high standard. By addressing the areas for improvement outlined in this report, the Ophthalmologist can further enhance the quality of care provided to their patients and maintain their standing as a leading specialist in the region.</w:t>
      </w:r>
    </w:p>
    <w:bookmarkEnd w:id="27"/>
    <w:p>
      <w:pPr>
        <w:pStyle w:val="BodyText"/>
      </w:pPr>
      <w:r>
        <w:rPr>
          <w:bCs/>
          <w:b/>
        </w:rPr>
        <w:t xml:space="preserve">Reviewed By:</w:t>
      </w:r>
    </w:p>
    <w:p>
      <w:pPr>
        <w:pStyle w:val="BodyText"/>
      </w:pPr>
      <w:r>
        <w:t xml:space="preserve">Dr. [Name Redacted]</w:t>
      </w:r>
    </w:p>
    <w:p>
      <w:pPr>
        <w:pStyle w:val="BodyText"/>
      </w:pPr>
      <w:r>
        <w:t xml:space="preserve">Senior Ophthalmologist</w:t>
      </w:r>
    </w:p>
    <w:p>
      <w:pPr>
        <w:pStyle w:val="BodyText"/>
      </w:pPr>
      <w:r>
        <w:t xml:space="preserve">Peer Review Committee</w:t>
      </w:r>
    </w:p>
    <w:p>
      <w:pPr>
        <w:pStyle w:val="BodyText"/>
      </w:pPr>
      <w:r>
        <w:t xml:space="preserve">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Israel Tel Aviv</dc:title>
  <dc:creator/>
  <dc:language>en</dc:language>
  <cp:keywords/>
  <dcterms:created xsi:type="dcterms:W3CDTF">2026-10-10T02:03:30Z</dcterms:created>
  <dcterms:modified xsi:type="dcterms:W3CDTF">2026-10-10T02:03:30Z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