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Japan</w:t>
      </w:r>
      <w:r>
        <w:t xml:space="preserve"> </w:t>
      </w:r>
      <w:r>
        <w:t xml:space="preserve">Tokyo</w:t>
      </w:r>
    </w:p>
    <w:bookmarkStart w:id="20" w:name="peer-review-report"/>
    <w:p>
      <w:pPr>
        <w:pStyle w:val="Heading1"/>
      </w:pPr>
      <w:r>
        <w:t xml:space="preserve">Peer Review Report</w:t>
      </w:r>
    </w:p>
    <w:p>
      <w:pPr>
        <w:pStyle w:val="FirstParagraph"/>
      </w:pPr>
      <w:r>
        <w:t xml:space="preserve">Professional Competency and Clinical Practice Evaluation</w:t>
      </w:r>
    </w:p>
    <w:bookmarkEnd w:id="20"/>
    <w:p>
      <w:pPr>
        <w:pStyle w:val="BodyText"/>
      </w:pPr>
      <w:r>
        <w:rPr>
          <w:bCs/>
          <w:b/>
        </w:rPr>
        <w:t xml:space="preserve">CONFIDENTIALITY NOTICE:</w:t>
      </w:r>
      <w:r>
        <w:t xml:space="preserve"> </w:t>
      </w:r>
      <w:r>
        <w:t xml:space="preserve">This document contains sensitive professional information regarding the clinical performance of a medical practitioner. It is intended solely for the use of the individual or entity to whom it is addressed and may contain information that is privileged, confidential, and exempt from disclosure under applicable laws in Japan.</w:t>
      </w:r>
    </w:p>
    <w:p>
      <w:pPr>
        <w:pStyle w:val="BodyText"/>
      </w:pPr>
      <w:r>
        <w:rPr>
          <w:bCs/>
          <w:b/>
        </w:rPr>
        <w:t xml:space="preserve">Report ID:</w:t>
      </w:r>
      <w:r>
        <w:t xml:space="preserve"> </w:t>
      </w:r>
      <w:r>
        <w:t xml:space="preserve">PR-2023-TKY-OPH-892</w:t>
      </w:r>
    </w:p>
    <w:p>
      <w:pPr>
        <w:pStyle w:val="BodyText"/>
      </w:pPr>
      <w:r>
        <w:rPr>
          <w:bCs/>
          <w:b/>
        </w:rPr>
        <w:t xml:space="preserve">Date of Review:</w:t>
      </w:r>
      <w:r>
        <w:t xml:space="preserve"> </w:t>
      </w:r>
      <w:r>
        <w:t xml:space="preserve">October 24, 2023</w:t>
      </w:r>
    </w:p>
    <w:p>
      <w:pPr>
        <w:pStyle w:val="BodyText"/>
      </w:pPr>
      <w:r>
        <w:rPr>
          <w:bCs/>
          <w:b/>
        </w:rPr>
        <w:t xml:space="preserve">Subject Specialty:</w:t>
      </w:r>
      <w:r>
        <w:t xml:space="preserve"> </w:t>
      </w:r>
      <w:r>
        <w:t xml:space="preserve">Ophthalmology</w:t>
      </w:r>
    </w:p>
    <w:p>
      <w:pPr>
        <w:pStyle w:val="BodyText"/>
      </w:pPr>
      <w:r>
        <w:rPr>
          <w:bCs/>
          <w:b/>
        </w:rPr>
        <w:t xml:space="preserve">Location:</w:t>
      </w:r>
      <w:r>
        <w:t xml:space="preserve"> </w:t>
      </w:r>
      <w:r>
        <w:t xml:space="preserve">Japan Tokyo (Minato Ward)</w:t>
      </w:r>
    </w:p>
    <w:p>
      <w:pPr>
        <w:pStyle w:val="BodyText"/>
      </w:pPr>
      <w:r>
        <w:rPr>
          <w:bCs/>
          <w:b/>
        </w:rPr>
        <w:t xml:space="preserve">Reviewing Body:</w:t>
      </w:r>
      <w:r>
        <w:t xml:space="preserve"> </w:t>
      </w:r>
      <w:r>
        <w:t xml:space="preserve">Tokyo Metropolitan Medical Association - Ophthalmology Section</w:t>
      </w:r>
    </w:p>
    <w:p>
      <w:pPr>
        <w:pStyle w:val="BodyText"/>
      </w:pPr>
      <w:r>
        <w:rPr>
          <w:bCs/>
          <w:b/>
        </w:rPr>
        <w:t xml:space="preserve">Review Type:</w:t>
      </w:r>
      <w:r>
        <w:t xml:space="preserve"> </w:t>
      </w:r>
      <w:r>
        <w:t xml:space="preserve">Periodic Credentialing &amp; Quality Assurance</w:t>
      </w:r>
    </w:p>
    <w:bookmarkStart w:id="21" w:name="executive-summary"/>
    <w:p>
      <w:pPr>
        <w:pStyle w:val="Heading2"/>
      </w:pPr>
      <w:r>
        <w:t xml:space="preserve">1. Executive Summary</w:t>
      </w:r>
    </w:p>
    <w:p>
      <w:pPr>
        <w:pStyle w:val="FirstParagraph"/>
      </w:pPr>
      <w:r>
        <w:t xml:space="preserve">This Peer Review Report has been commissioned to evaluate the professional standing, clinical competence, and ethical conduct of the subject Ophthalmologist practicing within the metropolitan area of Japan Tokyo. The review process adheres strictly to the standards set forth by the Japan Medical Association (JMA) and the Japanese Society of Ophthalmology (JSO). The primary objective of this assessment is to ensure that the practitioner maintains the highest levels of patient safety, diagnostic accuracy, and surgical proficiency required in a high-density urban medical environment like Tokyo.</w:t>
      </w:r>
    </w:p>
    <w:p>
      <w:pPr>
        <w:pStyle w:val="BodyText"/>
      </w:pPr>
      <w:r>
        <w:t xml:space="preserve">The subject has demonstrated a robust command of ophthalmic sciences, with particular excellence in retinal diagnostics and refractive surgery. The review committee has found the Ophthalmologist to be in full compliance with local regulations and international best practices. This report details the methodology, findings, and recommendations derived from a comprehensive analysis of medical records, surgical outcomes, and peer feedback.</w:t>
      </w:r>
    </w:p>
    <w:bookmarkEnd w:id="21"/>
    <w:bookmarkStart w:id="22" w:name="scope-and-methodology"/>
    <w:p>
      <w:pPr>
        <w:pStyle w:val="Heading2"/>
      </w:pPr>
      <w:r>
        <w:t xml:space="preserve">2. Scope and Methodology</w:t>
      </w:r>
    </w:p>
    <w:p>
      <w:pPr>
        <w:pStyle w:val="FirstParagraph"/>
      </w:pPr>
      <w:r>
        <w:t xml:space="preserve">The scope of this Peer Review Report encompasses a twelve-month period of clinical activity. Given the specific context of Japan Tokyo, where patient volume is exceptionally high and technological integration is advanced, the review focused on efficiency, accuracy, and the adoption of cutting-edge ophthalmic technologies.</w:t>
      </w:r>
    </w:p>
    <w:p>
      <w:pPr>
        <w:pStyle w:val="BodyText"/>
      </w:pPr>
      <w:r>
        <w:t xml:space="preserve">The methodology employed included:</w:t>
      </w:r>
    </w:p>
    <w:p>
      <w:pPr>
        <w:numPr>
          <w:ilvl w:val="0"/>
          <w:numId w:val="1001"/>
        </w:numPr>
        <w:pStyle w:val="Compact"/>
      </w:pPr>
      <w:r>
        <w:rPr>
          <w:bCs/>
          <w:b/>
        </w:rPr>
        <w:t xml:space="preserve">Retrospective Case Review:</w:t>
      </w:r>
      <w:r>
        <w:t xml:space="preserve"> </w:t>
      </w:r>
      <w:r>
        <w:t xml:space="preserve">A random sampling of 150 patient files, including complex cases involving glaucoma, diabetic retinopathy, and macular degeneration.</w:t>
      </w:r>
    </w:p>
    <w:p>
      <w:pPr>
        <w:numPr>
          <w:ilvl w:val="0"/>
          <w:numId w:val="1001"/>
        </w:numPr>
        <w:pStyle w:val="Compact"/>
      </w:pPr>
      <w:r>
        <w:rPr>
          <w:bCs/>
          <w:b/>
        </w:rPr>
        <w:t xml:space="preserve">Surgical Audit:</w:t>
      </w:r>
      <w:r>
        <w:t xml:space="preserve"> </w:t>
      </w:r>
      <w:r>
        <w:t xml:space="preserve">Analysis of surgical logs, specifically focusing on cataract extraction rates and complications, as well as LASIK/SMILE procedures.</w:t>
      </w:r>
    </w:p>
    <w:p>
      <w:pPr>
        <w:numPr>
          <w:ilvl w:val="0"/>
          <w:numId w:val="1001"/>
        </w:numPr>
        <w:pStyle w:val="Compact"/>
      </w:pPr>
      <w:r>
        <w:rPr>
          <w:bCs/>
          <w:b/>
        </w:rPr>
        <w:t xml:space="preserve">Peer Consultation:</w:t>
      </w:r>
      <w:r>
        <w:t xml:space="preserve"> </w:t>
      </w:r>
      <w:r>
        <w:t xml:space="preserve">Structured interviews with three senior Ophthalmologists and two optometrists who frequently collaborate with the subject in Tokyo-based clinics.</w:t>
      </w:r>
    </w:p>
    <w:p>
      <w:pPr>
        <w:numPr>
          <w:ilvl w:val="0"/>
          <w:numId w:val="1001"/>
        </w:numPr>
        <w:pStyle w:val="Compact"/>
      </w:pPr>
      <w:r>
        <w:rPr>
          <w:bCs/>
          <w:b/>
        </w:rPr>
        <w:t xml:space="preserve">Patient Satisfaction Analysis:</w:t>
      </w:r>
      <w:r>
        <w:t xml:space="preserve"> </w:t>
      </w:r>
      <w:r>
        <w:t xml:space="preserve">Review of anonymized patient feedback regarding communication, wait times, and post-operative care.</w:t>
      </w:r>
    </w:p>
    <w:bookmarkEnd w:id="22"/>
    <w:bookmarkStart w:id="23" w:name="Xdd67bb2d709c98d83d4fd7be0e2369c80be10de"/>
    <w:p>
      <w:pPr>
        <w:pStyle w:val="Heading2"/>
      </w:pPr>
      <w:r>
        <w:t xml:space="preserve">3. Clinical Competence and Technical Proficiency</w:t>
      </w:r>
    </w:p>
    <w:p>
      <w:pPr>
        <w:pStyle w:val="FirstParagraph"/>
      </w:pPr>
      <w:r>
        <w:t xml:space="preserve">The subject Ophthalmologist exhibits a high degree of technical proficiency. In the context of Japan Tokyo, where patients often seek second opinions for complex ocular conditions, the ability to diagnose accurately is paramount. The review of medical records indicates that the subject's diagnostic accuracy rate exceeds the national average for the specialty.</w:t>
      </w:r>
    </w:p>
    <w:p>
      <w:pPr>
        <w:pStyle w:val="BodyText"/>
      </w:pPr>
      <w:r>
        <w:t xml:space="preserve">Notably, the practitioner has successfully integrated advanced imaging technologies, such as Optical Coherence Tomography (OCT) and wide-field fundus photography, into routine practice. This aligns with the technological expectations of the Tokyo medical market. The surgical outcomes reviewed showed a complication rate significantly lower than the benchmark established by the Japanese Society of Cataract and Refractive Surgery. The subject demonstrates meticulous attention to detail during procedures, ensuring minimal trauma and optimal visual recovery for patients.</w:t>
      </w:r>
    </w:p>
    <w:bookmarkEnd w:id="23"/>
    <w:bookmarkStart w:id="24" w:name="X90ff44a3b2fe96e4404222c6bc67d7e2b61100f"/>
    <w:p>
      <w:pPr>
        <w:pStyle w:val="Heading2"/>
      </w:pPr>
      <w:r>
        <w:t xml:space="preserve">4. Adherence to Ethical Standards and Regulations</w:t>
      </w:r>
    </w:p>
    <w:p>
      <w:pPr>
        <w:pStyle w:val="FirstParagraph"/>
      </w:pPr>
      <w:r>
        <w:t xml:space="preserve">Ethical conduct is a cornerstone of medical practice in Japan. This Peer Review Report confirms that the Ophthalmologist strictly adheres to the Code of Medical Ethics of the Japan Medical Association. There were no findings of over-treatment, unnecessary referrals, or conflicts of interest.</w:t>
      </w:r>
    </w:p>
    <w:p>
      <w:pPr>
        <w:pStyle w:val="BodyText"/>
      </w:pPr>
      <w:r>
        <w:t xml:space="preserve">The practitioner maintains transparent communication with patients regarding treatment options, risks, and costs, which is particularly important in the private healthcare sector of Tokyo. Informed consent processes are documented thoroughly, reflecting a deep respect for patient autonomy. Furthermore, the subject actively participates in continuing medical education (CME) programs, ensuring their knowledge remains current with evolving global and national guidelines.</w:t>
      </w:r>
    </w:p>
    <w:bookmarkEnd w:id="24"/>
    <w:bookmarkStart w:id="25" w:name="Xf1502da7112a09fe88a2048091522c97086e2df"/>
    <w:p>
      <w:pPr>
        <w:pStyle w:val="Heading2"/>
      </w:pPr>
      <w:r>
        <w:t xml:space="preserve">5. Professional Collaboration and Communication</w:t>
      </w:r>
    </w:p>
    <w:p>
      <w:pPr>
        <w:pStyle w:val="FirstParagraph"/>
      </w:pPr>
      <w:r>
        <w:t xml:space="preserve">Effective collaboration is essential in the multidisciplinary environment of Japan Tokyo. Feedback from peers indicates that the subject Ophthalmologist is a respected colleague who communicates clearly and respectfully. The practitioner is noted for their willingness to consult on difficult cases and for providing timely referrals to sub-specialists when necessary.</w:t>
      </w:r>
    </w:p>
    <w:p>
      <w:pPr>
        <w:pStyle w:val="BodyText"/>
      </w:pPr>
      <w:r>
        <w:t xml:space="preserve">The review also assessed the subject's ability to work within hospital systems and private clinics. The Ophthalmologist has demonstrated strong leadership qualities, contributing to the training of junior residents and medical students. This commitment to education enhances the overall quality of ophthalmic care in the region.</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committee concludes that the subject Ophthalmologist meets and exceeds the required standards for practice in Japan Tokyo. The practitioner's clinical skills, ethical integrity, and professional demeanor are exemplary.</w:t>
      </w:r>
    </w:p>
    <w:p>
      <w:pPr>
        <w:pStyle w:val="BodyText"/>
      </w:pPr>
      <w:r>
        <w:rPr>
          <w:bCs/>
          <w:b/>
        </w:rPr>
        <w:t xml:space="preserve">Recommendations:</w:t>
      </w:r>
    </w:p>
    <w:p>
      <w:pPr>
        <w:numPr>
          <w:ilvl w:val="0"/>
          <w:numId w:val="1002"/>
        </w:numPr>
        <w:pStyle w:val="Compact"/>
      </w:pPr>
      <w:r>
        <w:t xml:space="preserve">Continue current practices regarding surgical safety and patient communication.</w:t>
      </w:r>
    </w:p>
    <w:p>
      <w:pPr>
        <w:numPr>
          <w:ilvl w:val="0"/>
          <w:numId w:val="1002"/>
        </w:numPr>
        <w:pStyle w:val="Compact"/>
      </w:pPr>
      <w:r>
        <w:t xml:space="preserve">Consider expanding research activities in the field of neuro-ophthalmology, leveraging the advanced resources available in Tokyo.</w:t>
      </w:r>
    </w:p>
    <w:p>
      <w:pPr>
        <w:numPr>
          <w:ilvl w:val="0"/>
          <w:numId w:val="1002"/>
        </w:numPr>
        <w:pStyle w:val="Compact"/>
      </w:pPr>
      <w:r>
        <w:t xml:space="preserve">Maintain active participation in the Japanese Society of Ophthalmology to stay abreast of emerging trends.</w:t>
      </w:r>
    </w:p>
    <w:p>
      <w:pPr>
        <w:pStyle w:val="FirstParagraph"/>
      </w:pPr>
      <w:r>
        <w:t xml:space="preserve">This Peer Review Report serves as a formal endorsement of the Ophthalmologist's competence and dedication to the field. It is recommended that the subject's credentials be renewed without restriction for the next review cycle.</w:t>
      </w:r>
    </w:p>
    <w:p>
      <w:pPr>
        <w:pStyle w:val="BodyText"/>
      </w:pPr>
      <w:r>
        <w:rPr>
          <w:bCs/>
          <w:b/>
        </w:rPr>
        <w:t xml:space="preserve">Dr. Kenji Tanaka</w:t>
      </w:r>
      <w:r>
        <w:br/>
      </w:r>
      <w:r>
        <w:t xml:space="preserve">Chair, Ophthalmology Review Committee</w:t>
      </w:r>
      <w:r>
        <w:br/>
      </w:r>
      <w:r>
        <w:t xml:space="preserve">Tokyo Metropolitan Medical Association</w:t>
      </w:r>
    </w:p>
    <w:p>
      <w:pPr>
        <w:pStyle w:val="BodyText"/>
      </w:pPr>
      <w:r>
        <w:rPr>
          <w:bCs/>
          <w:b/>
        </w:rPr>
        <w:t xml:space="preserve">Dr. Sarah Jenkins</w:t>
      </w:r>
      <w:r>
        <w:br/>
      </w:r>
      <w:r>
        <w:t xml:space="preserve">Senior Peer Reviewer</w:t>
      </w:r>
      <w:r>
        <w:br/>
      </w:r>
      <w:r>
        <w:t xml:space="preserve">International Medical Standards Board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Japan Tokyo</dc:title>
  <dc:creator/>
  <dc:language>en</dc:language>
  <cp:keywords/>
  <dcterms:created xsi:type="dcterms:W3CDTF">2026-10-10T03:18:09Z</dcterms:created>
  <dcterms:modified xsi:type="dcterms:W3CDTF">2026-10-10T03:18:09Z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