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Ophthalmologist</w:t>
      </w:r>
      <w:r>
        <w:t xml:space="preserve"> </w:t>
      </w:r>
      <w:r>
        <w:t xml:space="preserve">-</w:t>
      </w:r>
      <w:r>
        <w:t xml:space="preserve"> </w:t>
      </w:r>
      <w:r>
        <w:t xml:space="preserve">Almaty,</w:t>
      </w:r>
      <w:r>
        <w:t xml:space="preserve"> </w:t>
      </w:r>
      <w:r>
        <w:t xml:space="preserve">Kazakhstan</w:t>
      </w:r>
    </w:p>
    <w:bookmarkStart w:id="20" w:name="peer-review-report"/>
    <w:p>
      <w:pPr>
        <w:pStyle w:val="Heading1"/>
      </w:pPr>
      <w:r>
        <w:t xml:space="preserve">Peer Review Report</w:t>
      </w:r>
    </w:p>
    <w:p>
      <w:pPr>
        <w:pStyle w:val="FirstParagraph"/>
      </w:pPr>
      <w:r>
        <w:rPr>
          <w:bCs/>
          <w:b/>
        </w:rPr>
        <w:t xml:space="preserve">Subject:</w:t>
      </w:r>
      <w:r>
        <w:t xml:space="preserve"> </w:t>
      </w:r>
      <w:r>
        <w:t xml:space="preserve">Clinical Performance Evaluation of Ophthalmologist</w:t>
      </w:r>
    </w:p>
    <w:p>
      <w:pPr>
        <w:pStyle w:val="BodyText"/>
      </w:pPr>
      <w:r>
        <w:rPr>
          <w:bCs/>
          <w:b/>
        </w:rPr>
        <w:t xml:space="preserve">Location:</w:t>
      </w:r>
      <w:r>
        <w:t xml:space="preserve"> </w:t>
      </w:r>
      <w:r>
        <w:t xml:space="preserve">Almaty, Kazakhstan</w:t>
      </w:r>
    </w:p>
    <w:p>
      <w:pPr>
        <w:pStyle w:val="BodyText"/>
      </w:pPr>
      <w:r>
        <w:rPr>
          <w:bCs/>
          <w:b/>
        </w:rPr>
        <w:t xml:space="preserve">Date of Review:</w:t>
      </w:r>
      <w:r>
        <w:t xml:space="preserve"> </w:t>
      </w:r>
      <w:r>
        <w:t xml:space="preserve">October 15, 2023</w:t>
      </w:r>
    </w:p>
    <w:p>
      <w:pPr>
        <w:pStyle w:val="BodyText"/>
      </w:pPr>
      <w:r>
        <w:rPr>
          <w:bCs/>
          <w:b/>
        </w:rPr>
        <w:t xml:space="preserve">Review Period:</w:t>
      </w:r>
      <w:r>
        <w:t xml:space="preserve"> </w:t>
      </w:r>
      <w:r>
        <w:t xml:space="preserve">January 1, 2023 – September 30, 2023</w:t>
      </w:r>
    </w:p>
    <w:bookmarkEnd w:id="20"/>
    <w:bookmarkStart w:id="21" w:name="introduction-and-scope"/>
    <w:p>
      <w:pPr>
        <w:pStyle w:val="Heading2"/>
      </w:pPr>
      <w:r>
        <w:t xml:space="preserve">1. Introduction and Scope</w:t>
      </w:r>
    </w:p>
    <w:p>
      <w:pPr>
        <w:pStyle w:val="FirstParagraph"/>
      </w:pPr>
      <w:r>
        <w:t xml:space="preserve">This Peer Review Report has been prepared to evaluate the clinical competence, professional conduct, and adherence to medical standards of a practicing Ophthalmologist within the healthcare system of Almaty, Kazakhstan. The review is conducted in accordance with the national medical regulations established by the Ministry of Health of the Republic of Kazakhstan and aligns with international best practices in ophthalmic care. The purpose of this evaluation is to ensure that the physician maintains the highest standards of patient care, diagnostic accuracy, surgical proficiency, and ethical behavior expected in the dynamic medical environment of Almaty.</w:t>
      </w:r>
    </w:p>
    <w:p>
      <w:pPr>
        <w:pStyle w:val="BodyText"/>
      </w:pPr>
      <w:r>
        <w:t xml:space="preserve">The scope of this review encompasses an analysis of patient records, surgical outcomes, adherence to clinical guidelines, peer feedback, and compliance with local healthcare protocols. Given the increasing demand for specialized eye care in Almaty, this assessment aims to reinforce the quality of services provided to the local population and uphold the reputation of the medical community in Kazakhstan.</w:t>
      </w:r>
    </w:p>
    <w:bookmarkEnd w:id="21"/>
    <w:bookmarkStart w:id="22" w:name="X45c1b4156b66fede970d38e87ba1f3035493e48"/>
    <w:p>
      <w:pPr>
        <w:pStyle w:val="Heading2"/>
      </w:pPr>
      <w:r>
        <w:t xml:space="preserve">2. Clinical Competence and Diagnostic Accuracy</w:t>
      </w:r>
    </w:p>
    <w:p>
      <w:pPr>
        <w:pStyle w:val="FirstParagraph"/>
      </w:pPr>
      <w:r>
        <w:t xml:space="preserve">The Ophthalmologist under review has demonstrated a high level of clinical competence in diagnosing and managing a wide range of ocular conditions. During the review period, the physician was observed to effectively utilize advanced diagnostic tools available in Almaty’s leading medical facilities, including optical coherence tomography (OCT), fundus photography, and visual field testing. These technologies are critical in the early detection and management of conditions such as glaucoma, diabetic retinopathy, and age-related macular degeneration, which are prevalent in the region.</w:t>
      </w:r>
    </w:p>
    <w:p>
      <w:pPr>
        <w:pStyle w:val="BodyText"/>
      </w:pPr>
      <w:r>
        <w:t xml:space="preserve">The physician’s diagnostic accuracy was assessed through a retrospective analysis of 150 patient cases. The findings indicate a 95% concordance rate with secondary peer assessments, reflecting a strong ability to interpret complex clinical data and formulate appropriate treatment plans. The Ophthalmologist consistently adhered to evidence-based guidelines, ensuring that patients in Almaty receive care that is both modern and aligned with global standards.</w:t>
      </w:r>
    </w:p>
    <w:bookmarkEnd w:id="22"/>
    <w:bookmarkStart w:id="23" w:name="surgical-proficiency-and-outcomes"/>
    <w:p>
      <w:pPr>
        <w:pStyle w:val="Heading2"/>
      </w:pPr>
      <w:r>
        <w:t xml:space="preserve">3. Surgical Proficiency and Outcomes</w:t>
      </w:r>
    </w:p>
    <w:p>
      <w:pPr>
        <w:pStyle w:val="FirstParagraph"/>
      </w:pPr>
      <w:r>
        <w:t xml:space="preserve">Surgical performance is a critical component of ophthalmic practice, and this review places significant emphasis on the Ophthalmologist’s surgical outcomes. During the review period, the physician performed over 200 surgical procedures, including cataract surgeries, laser treatments, and refractive surgeries. The complication rate was recorded at 1.5%, which is well within the acceptable range for similar procedures in Kazakhstan and comparable to international benchmarks.</w:t>
      </w:r>
    </w:p>
    <w:p>
      <w:pPr>
        <w:pStyle w:val="BodyText"/>
      </w:pPr>
      <w:r>
        <w:t xml:space="preserve">The Ophthalmologist demonstrated exceptional skill in phacoemulsification, a technique widely used in Almaty for cataract removal. Patient feedback and post-operative assessments indicate high satisfaction rates, with most patients reporting improved visual acuity and minimal discomfort. The physician’s commitment to continuous professional development was evident through participation in surgical workshops and training programs, further enhancing their expertise in advanced ophthalmic techniques.</w:t>
      </w:r>
    </w:p>
    <w:bookmarkEnd w:id="23"/>
    <w:bookmarkStart w:id="24" w:name="patient-care-and-communication"/>
    <w:p>
      <w:pPr>
        <w:pStyle w:val="Heading2"/>
      </w:pPr>
      <w:r>
        <w:t xml:space="preserve">4. Patient Care and Communication</w:t>
      </w:r>
    </w:p>
    <w:p>
      <w:pPr>
        <w:pStyle w:val="FirstParagraph"/>
      </w:pPr>
      <w:r>
        <w:t xml:space="preserve">Effective communication and patient-centered care are essential in building trust and ensuring positive health outcomes. The Ophthalmologist was praised for their ability to explain complex medical conditions in a manner that is easily understood by patients from diverse backgrounds in Almaty. The physician consistently took the time to address patient concerns, provide clear instructions for post-operative care, and ensure that patients felt supported throughout their treatment journey.</w:t>
      </w:r>
    </w:p>
    <w:p>
      <w:pPr>
        <w:pStyle w:val="BodyText"/>
      </w:pPr>
      <w:r>
        <w:t xml:space="preserve">Feedback from patients and colleagues highlights the Ophthalmologist’s empathetic approach and dedication to improving the overall patient experience. The physician’s efforts to incorporate cultural sensitivity into their practice have been particularly noteworthy, reflecting an understanding of the unique needs of the population in Kazakhstan.</w:t>
      </w:r>
    </w:p>
    <w:bookmarkEnd w:id="24"/>
    <w:bookmarkStart w:id="25" w:name="X3e81b8c234bebae589567bb30b6e46f9ee9b29d"/>
    <w:p>
      <w:pPr>
        <w:pStyle w:val="Heading2"/>
      </w:pPr>
      <w:r>
        <w:t xml:space="preserve">5. Adherence to Ethical Standards and Professional Conduct</w:t>
      </w:r>
    </w:p>
    <w:p>
      <w:pPr>
        <w:pStyle w:val="FirstParagraph"/>
      </w:pPr>
      <w:r>
        <w:t xml:space="preserve">The Ophthalmologist has consistently demonstrated adherence to the ethical standards outlined by the Medical Chamber of Kazakhstan. There were no reported cases of misconduct, negligence, or breaches of patient confidentiality during the review period. The physician maintained transparent communication with patients regarding treatment options, risks, and costs, ensuring informed consent was obtained in all cases.</w:t>
      </w:r>
    </w:p>
    <w:p>
      <w:pPr>
        <w:pStyle w:val="BodyText"/>
      </w:pPr>
      <w:r>
        <w:t xml:space="preserve">The Ophthalmologist’s commitment to professional integrity was further evidenced by their active participation in peer review activities and their willingness to seek feedback from colleagues. This collaborative approach contributes to the continuous improvement of medical practices in Almaty and reinforces the trust placed in healthcare professionals by the public.</w:t>
      </w:r>
    </w:p>
    <w:bookmarkEnd w:id="25"/>
    <w:bookmarkStart w:id="26" w:name="recommendations"/>
    <w:p>
      <w:pPr>
        <w:pStyle w:val="Heading2"/>
      </w:pPr>
      <w:r>
        <w:t xml:space="preserve">6. Recommendations</w:t>
      </w:r>
    </w:p>
    <w:p>
      <w:pPr>
        <w:pStyle w:val="FirstParagraph"/>
      </w:pPr>
      <w:r>
        <w:t xml:space="preserve">Based on the findings of this Peer Review Report, the following recommendations are made to further enhance the Ophthalmologist’s practice:</w:t>
      </w:r>
    </w:p>
    <w:p>
      <w:pPr>
        <w:numPr>
          <w:ilvl w:val="0"/>
          <w:numId w:val="1001"/>
        </w:numPr>
        <w:pStyle w:val="Compact"/>
      </w:pPr>
      <w:r>
        <w:t xml:space="preserve">Continue to engage in ongoing professional development, particularly in emerging technologies and techniques in ophthalmology.</w:t>
      </w:r>
    </w:p>
    <w:p>
      <w:pPr>
        <w:numPr>
          <w:ilvl w:val="0"/>
          <w:numId w:val="1001"/>
        </w:numPr>
        <w:pStyle w:val="Compact"/>
      </w:pPr>
      <w:r>
        <w:t xml:space="preserve">Expand patient education initiatives to raise awareness about preventive eye care in Almaty.</w:t>
      </w:r>
    </w:p>
    <w:p>
      <w:pPr>
        <w:numPr>
          <w:ilvl w:val="0"/>
          <w:numId w:val="1001"/>
        </w:numPr>
        <w:pStyle w:val="Compact"/>
      </w:pPr>
      <w:r>
        <w:t xml:space="preserve">Collaborate with local healthcare institutions to contribute to research and improve ophthalmic care standards in Kazakhstan.</w:t>
      </w:r>
    </w:p>
    <w:bookmarkEnd w:id="26"/>
    <w:bookmarkStart w:id="27" w:name="conclusion"/>
    <w:p>
      <w:pPr>
        <w:pStyle w:val="Heading2"/>
      </w:pPr>
      <w:r>
        <w:t xml:space="preserve">7. Conclusion</w:t>
      </w:r>
    </w:p>
    <w:p>
      <w:pPr>
        <w:pStyle w:val="FirstParagraph"/>
      </w:pPr>
      <w:r>
        <w:t xml:space="preserve">In conclusion, this Peer Review Report affirms that the Ophthalmologist under review meets and, in many areas, exceeds the expected standards of clinical competence, surgical proficiency, and professional conduct. Their contributions to the healthcare system in Almaty, Kazakhstan, are significant, and their dedication to providing high-quality eye care is commendable. This report serves as a testament to their commitment to excellence and their role in advancing ophthalmic care in the region.</w:t>
      </w:r>
    </w:p>
    <w:bookmarkEnd w:id="27"/>
    <w:p>
      <w:pPr>
        <w:pStyle w:val="BodyText"/>
      </w:pPr>
      <w:r>
        <w:rPr>
          <w:bCs/>
          <w:b/>
        </w:rPr>
        <w:t xml:space="preserve">Prepared by:</w:t>
      </w:r>
    </w:p>
    <w:p>
      <w:pPr>
        <w:pStyle w:val="BodyText"/>
      </w:pPr>
      <w:r>
        <w:t xml:space="preserve">Dr. [Reviewer’s Name]</w:t>
      </w:r>
    </w:p>
    <w:p>
      <w:pPr>
        <w:pStyle w:val="BodyText"/>
      </w:pPr>
      <w:r>
        <w:t xml:space="preserve">Senior Ophthalmologist</w:t>
      </w:r>
    </w:p>
    <w:p>
      <w:pPr>
        <w:pStyle w:val="BodyText"/>
      </w:pPr>
      <w:r>
        <w:t xml:space="preserve">Almaty, Kazakhstan</w:t>
      </w:r>
    </w:p>
    <w:p>
      <w:pPr>
        <w:pStyle w:val="BodyText"/>
      </w:pPr>
      <w:r>
        <w:rPr>
          <w:bCs/>
          <w:b/>
        </w:rPr>
        <w:t xml:space="preserve">Date:</w:t>
      </w:r>
      <w:r>
        <w:t xml:space="preserve"> </w:t>
      </w:r>
      <w:r>
        <w:t xml:space="preserve">October 15, 2023</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Ophthalmologist - Almaty, Kazakhstan</dc:title>
  <dc:creator/>
  <dc:language>en</dc:language>
  <cp:keywords/>
  <dcterms:created xsi:type="dcterms:W3CDTF">2026-10-10T04:49:45Z</dcterms:created>
  <dcterms:modified xsi:type="dcterms:W3CDTF">2026-10-10T04:49:45Z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