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Practice</w:t>
      </w:r>
      <w:r>
        <w:t xml:space="preserve"> </w:t>
      </w:r>
      <w:r>
        <w:t xml:space="preserve">in</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t xml:space="preserve">Clinical Quality Assessment &amp; Professional Evaluation</w:t>
      </w:r>
    </w:p>
    <w:bookmarkEnd w:id="20"/>
    <w:p>
      <w:pPr>
        <w:pStyle w:val="BodyText"/>
      </w:pPr>
      <w:r>
        <w:rPr>
          <w:bCs/>
          <w:b/>
        </w:rPr>
        <w:t xml:space="preserve">Subject Specialty:</w:t>
      </w:r>
      <w:r>
        <w:t xml:space="preserve"> </w:t>
      </w:r>
      <w:r>
        <w:t xml:space="preserve">Ophthalmology</w:t>
      </w:r>
    </w:p>
    <w:p>
      <w:pPr>
        <w:pStyle w:val="BodyText"/>
      </w:pPr>
      <w:r>
        <w:rPr>
          <w:bCs/>
          <w:b/>
        </w:rPr>
        <w:t xml:space="preserve">Location:</w:t>
      </w:r>
      <w:r>
        <w:t xml:space="preserve"> </w:t>
      </w:r>
      <w:r>
        <w:t xml:space="preserve">Kuwait City, Kuwait</w:t>
      </w:r>
    </w:p>
    <w:p>
      <w:pPr>
        <w:pStyle w:val="BodyText"/>
      </w:pPr>
      <w:r>
        <w:rPr>
          <w:bCs/>
          <w:b/>
        </w:rPr>
        <w:t xml:space="preserve">Review Type:</w:t>
      </w:r>
      <w:r>
        <w:t xml:space="preserve"> </w:t>
      </w:r>
      <w:r>
        <w:t xml:space="preserve">Comprehensive Clinical Audit</w:t>
      </w:r>
    </w:p>
    <w:p>
      <w:pPr>
        <w:pStyle w:val="BodyText"/>
      </w:pPr>
      <w:r>
        <w:rPr>
          <w:bCs/>
          <w:b/>
        </w:rPr>
        <w:t xml:space="preserve">Date:</w:t>
      </w:r>
      <w:r>
        <w:t xml:space="preserve"> </w:t>
      </w:r>
      <w:r>
        <w:t xml:space="preserve">October 24, 2023</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standards, operational efficiency, and patient care protocols of a specialized</w:t>
      </w:r>
      <w:r>
        <w:t xml:space="preserve"> </w:t>
      </w:r>
      <w:r>
        <w:rPr>
          <w:bCs/>
          <w:b/>
        </w:rPr>
        <w:t xml:space="preserve">Ophthalmologist</w:t>
      </w:r>
      <w:r>
        <w:t xml:space="preserve"> </w:t>
      </w:r>
      <w:r>
        <w:t xml:space="preserve">practicing within the metropolitan area of</w:t>
      </w:r>
      <w:r>
        <w:t xml:space="preserve"> </w:t>
      </w:r>
      <w:r>
        <w:rPr>
          <w:bCs/>
          <w:b/>
        </w:rPr>
        <w:t xml:space="preserve">Kuwait City</w:t>
      </w:r>
      <w:r>
        <w:t xml:space="preserve">. The review aims to ensure that the medical services provided align with the rigorous standards set by the Ministry of Health (MOH) of Kuwait and international ophthalmological guidelines.</w:t>
      </w:r>
    </w:p>
    <w:p>
      <w:pPr>
        <w:pStyle w:val="BodyText"/>
      </w:pPr>
      <w:r>
        <w:t xml:space="preserve">The assessment covers a six-month period of clinical activity, focusing on surgical outcomes, diagnostic accuracy, and adherence to safety protocols. The findings indicate a high level of professional competence, though specific recommendations regarding patient education materials and follow-up scheduling have been identified to further enhance the quality of care in this dynamic healthcare environment.</w:t>
      </w:r>
    </w:p>
    <w:bookmarkEnd w:id="21"/>
    <w:bookmarkStart w:id="22" w:name="introduction-and-scope"/>
    <w:p>
      <w:pPr>
        <w:pStyle w:val="Heading2"/>
      </w:pPr>
      <w:r>
        <w:t xml:space="preserve">2. Introduction and Scope</w:t>
      </w:r>
    </w:p>
    <w:p>
      <w:pPr>
        <w:pStyle w:val="FirstParagraph"/>
      </w:pPr>
      <w:r>
        <w:t xml:space="preserve">The field of ophthalmology is rapidly evolving, requiring practitioners to stay abreast of the latest technological advancements and surgical techniques. In</w:t>
      </w:r>
      <w:r>
        <w:t xml:space="preserve"> </w:t>
      </w:r>
      <w:r>
        <w:rPr>
          <w:bCs/>
          <w:b/>
        </w:rPr>
        <w:t xml:space="preserve">Kuwait City</w:t>
      </w:r>
      <w:r>
        <w:t xml:space="preserve">, where the demand for high-quality eye care is significant due to a diverse population and increasing prevalence of lifestyle-related ocular conditions, the role of the</w:t>
      </w:r>
      <w:r>
        <w:t xml:space="preserve"> </w:t>
      </w:r>
      <w:r>
        <w:rPr>
          <w:bCs/>
          <w:b/>
        </w:rPr>
        <w:t xml:space="preserve">Ophthalmologist</w:t>
      </w:r>
      <w:r>
        <w:t xml:space="preserve"> </w:t>
      </w:r>
      <w:r>
        <w:t xml:space="preserve">is critical.</w:t>
      </w:r>
    </w:p>
    <w:p>
      <w:pPr>
        <w:pStyle w:val="BodyText"/>
      </w:pPr>
      <w:r>
        <w:t xml:space="preserve">This</w:t>
      </w:r>
      <w:r>
        <w:t xml:space="preserve"> </w:t>
      </w:r>
      <w:r>
        <w:rPr>
          <w:bCs/>
          <w:b/>
        </w:rPr>
        <w:t xml:space="preserve">Peer Review Report</w:t>
      </w:r>
      <w:r>
        <w:t xml:space="preserve"> </w:t>
      </w:r>
      <w:r>
        <w:t xml:space="preserve">was conducted by a panel of senior ophthalmic consultants. The scope of this review includes:</w:t>
      </w:r>
    </w:p>
    <w:p>
      <w:pPr>
        <w:numPr>
          <w:ilvl w:val="0"/>
          <w:numId w:val="1001"/>
        </w:numPr>
        <w:pStyle w:val="Compact"/>
      </w:pPr>
      <w:r>
        <w:t xml:space="preserve">Review of medical records for cataract, refractive, and glaucoma surgeries.</w:t>
      </w:r>
    </w:p>
    <w:p>
      <w:pPr>
        <w:numPr>
          <w:ilvl w:val="0"/>
          <w:numId w:val="1001"/>
        </w:numPr>
        <w:pStyle w:val="Compact"/>
      </w:pPr>
      <w:r>
        <w:t xml:space="preserve">Assessment of diagnostic protocols for diabetic retinopathy and macular degeneration.</w:t>
      </w:r>
    </w:p>
    <w:p>
      <w:pPr>
        <w:numPr>
          <w:ilvl w:val="0"/>
          <w:numId w:val="1001"/>
        </w:numPr>
        <w:pStyle w:val="Compact"/>
      </w:pPr>
      <w:r>
        <w:t xml:space="preserve">Evaluation of infection control measures within the clinic and operating theater.</w:t>
      </w:r>
    </w:p>
    <w:p>
      <w:pPr>
        <w:numPr>
          <w:ilvl w:val="0"/>
          <w:numId w:val="1001"/>
        </w:numPr>
        <w:pStyle w:val="Compact"/>
      </w:pPr>
      <w:r>
        <w:t xml:space="preserve">Analysis of patient satisfaction and communication standards.</w:t>
      </w:r>
    </w:p>
    <w:bookmarkEnd w:id="22"/>
    <w:bookmarkStart w:id="23" w:name="Xa882c91f75d1156c5c30bb9424ac172a97c732a"/>
    <w:p>
      <w:pPr>
        <w:pStyle w:val="Heading2"/>
      </w:pPr>
      <w:r>
        <w:t xml:space="preserve">3. Clinical Competence and Surgical Outcomes</w:t>
      </w:r>
    </w:p>
    <w:p>
      <w:pPr>
        <w:pStyle w:val="FirstParagraph"/>
      </w:pPr>
      <w:r>
        <w:t xml:space="preserve">The primary focus of this</w:t>
      </w:r>
      <w:r>
        <w:t xml:space="preserve"> </w:t>
      </w:r>
      <w:r>
        <w:rPr>
          <w:bCs/>
          <w:b/>
        </w:rPr>
        <w:t xml:space="preserve">Peer Review Report</w:t>
      </w:r>
      <w:r>
        <w:t xml:space="preserve"> </w:t>
      </w:r>
      <w:r>
        <w:t xml:space="preserve">is the clinical efficacy of the</w:t>
      </w:r>
      <w:r>
        <w:t xml:space="preserve"> </w:t>
      </w:r>
      <w:r>
        <w:rPr>
          <w:bCs/>
          <w:b/>
        </w:rPr>
        <w:t xml:space="preserve">Ophthalmologist</w:t>
      </w:r>
      <w:r>
        <w:t xml:space="preserve">. The audit of surgical logs reveals a robust volume of procedures, including phacoemulsification, LASIK, and vitrectomies. The complication rates observed are well within the acceptable limits defined by international standards.</w:t>
      </w:r>
    </w:p>
    <w:p>
      <w:pPr>
        <w:pStyle w:val="BodyText"/>
      </w:pPr>
      <w:r>
        <w:t xml:space="preserve">Specifically, the management of complex cases in</w:t>
      </w:r>
      <w:r>
        <w:t xml:space="preserve"> </w:t>
      </w:r>
      <w:r>
        <w:rPr>
          <w:bCs/>
          <w:b/>
        </w:rPr>
        <w:t xml:space="preserve">Kuwait City</w:t>
      </w:r>
      <w:r>
        <w:t xml:space="preserve"> </w:t>
      </w:r>
      <w:r>
        <w:t xml:space="preserve">demonstrates a high degree of skill. The</w:t>
      </w:r>
      <w:r>
        <w:t xml:space="preserve"> </w:t>
      </w:r>
      <w:r>
        <w:rPr>
          <w:bCs/>
          <w:b/>
        </w:rPr>
        <w:t xml:space="preserve">Ophthalmologist</w:t>
      </w:r>
      <w:r>
        <w:t xml:space="preserve"> </w:t>
      </w:r>
      <w:r>
        <w:t xml:space="preserve">has shown proficiency in utilizing advanced imaging technologies, such as Optical Coherence Tomography (OCT) and Anterior Segment OCT, which are essential for precise diagnosis and surgical planning. The accuracy of pre-operative assessments directly correlates with the positive post-operative visual acuity outcomes recorded in the patient files.</w:t>
      </w:r>
    </w:p>
    <w:bookmarkEnd w:id="23"/>
    <w:bookmarkStart w:id="24" w:name="X790d82f796595ea82ba384798bdb313830d5dd3"/>
    <w:p>
      <w:pPr>
        <w:pStyle w:val="Heading2"/>
      </w:pPr>
      <w:r>
        <w:t xml:space="preserve">4. Adherence to Protocols and Safety Standards</w:t>
      </w:r>
    </w:p>
    <w:p>
      <w:pPr>
        <w:pStyle w:val="FirstParagraph"/>
      </w:pPr>
      <w:r>
        <w:t xml:space="preserve">Safety is paramount in any medical setting. This</w:t>
      </w:r>
      <w:r>
        <w:t xml:space="preserve"> </w:t>
      </w:r>
      <w:r>
        <w:rPr>
          <w:bCs/>
          <w:b/>
        </w:rPr>
        <w:t xml:space="preserve">Peer Review Report</w:t>
      </w:r>
      <w:r>
        <w:t xml:space="preserve"> </w:t>
      </w:r>
      <w:r>
        <w:t xml:space="preserve">confirms that the</w:t>
      </w:r>
      <w:r>
        <w:t xml:space="preserve"> </w:t>
      </w:r>
      <w:r>
        <w:rPr>
          <w:bCs/>
          <w:b/>
        </w:rPr>
        <w:t xml:space="preserve">Ophthalmologist</w:t>
      </w:r>
      <w:r>
        <w:t xml:space="preserve"> </w:t>
      </w:r>
      <w:r>
        <w:t xml:space="preserve">strictly adheres to the sterilization and safety protocols mandated by the Kuwaiti health authorities. The operating theater environment in</w:t>
      </w:r>
      <w:r>
        <w:t xml:space="preserve"> </w:t>
      </w:r>
      <w:r>
        <w:rPr>
          <w:bCs/>
          <w:b/>
        </w:rPr>
        <w:t xml:space="preserve">Kuwait City</w:t>
      </w:r>
      <w:r>
        <w:t xml:space="preserve"> </w:t>
      </w:r>
      <w:r>
        <w:t xml:space="preserve">was found to be compliant with infection control guidelines, minimizing the risk of post-operative infections such as endophthalmitis.</w:t>
      </w:r>
    </w:p>
    <w:p>
      <w:pPr>
        <w:pStyle w:val="BodyText"/>
      </w:pPr>
      <w:r>
        <w:t xml:space="preserve">Furthermore, the documentation of informed consent processes is thorough. Patients are adequately informed about the risks, benefits, and alternatives of procedures, ensuring ethical practice. The review highlights that the</w:t>
      </w:r>
      <w:r>
        <w:t xml:space="preserve"> </w:t>
      </w:r>
      <w:r>
        <w:rPr>
          <w:bCs/>
          <w:b/>
        </w:rPr>
        <w:t xml:space="preserve">Ophthalmologist</w:t>
      </w:r>
      <w:r>
        <w:t xml:space="preserve"> </w:t>
      </w:r>
      <w:r>
        <w:t xml:space="preserve">maintains detailed records of medication prescriptions, particularly regarding the management of intraocular pressure in glaucoma patients, which is a prevalent condition in the region.</w:t>
      </w:r>
    </w:p>
    <w:bookmarkEnd w:id="24"/>
    <w:bookmarkStart w:id="25" w:name="patient-care-and-communication"/>
    <w:p>
      <w:pPr>
        <w:pStyle w:val="Heading2"/>
      </w:pPr>
      <w:r>
        <w:t xml:space="preserve">5. Patient Care and Communication</w:t>
      </w:r>
    </w:p>
    <w:p>
      <w:pPr>
        <w:pStyle w:val="FirstParagraph"/>
      </w:pPr>
      <w:r>
        <w:t xml:space="preserve">Effective communication is a cornerstone of successful medical practice. In the multicultural context of</w:t>
      </w:r>
      <w:r>
        <w:t xml:space="preserve"> </w:t>
      </w:r>
      <w:r>
        <w:rPr>
          <w:bCs/>
          <w:b/>
        </w:rPr>
        <w:t xml:space="preserve">Kuwait City</w:t>
      </w:r>
      <w:r>
        <w:t xml:space="preserve">, the ability to communicate clearly with patients from various backgrounds is essential. This</w:t>
      </w:r>
      <w:r>
        <w:t xml:space="preserve"> </w:t>
      </w:r>
      <w:r>
        <w:rPr>
          <w:bCs/>
          <w:b/>
        </w:rPr>
        <w:t xml:space="preserve">Peer Review Report</w:t>
      </w:r>
      <w:r>
        <w:t xml:space="preserve"> </w:t>
      </w:r>
      <w:r>
        <w:t xml:space="preserve">notes that the</w:t>
      </w:r>
      <w:r>
        <w:t xml:space="preserve"> </w:t>
      </w:r>
      <w:r>
        <w:rPr>
          <w:bCs/>
          <w:b/>
        </w:rPr>
        <w:t xml:space="preserve">Ophthalmologist</w:t>
      </w:r>
      <w:r>
        <w:t xml:space="preserve"> </w:t>
      </w:r>
      <w:r>
        <w:t xml:space="preserve">demonstrates excellent bedside manner and empathy.</w:t>
      </w:r>
    </w:p>
    <w:p>
      <w:pPr>
        <w:pStyle w:val="BodyText"/>
      </w:pPr>
      <w:r>
        <w:t xml:space="preserve">However, the review suggests an opportunity for improvement in the provision of written patient education materials. While verbal explanations are clear, providing translated brochures or digital resources regarding post-operative care could further empower patients. This is particularly relevant for procedures requiring strict adherence to post-surgical hygiene and medication schedules.</w:t>
      </w:r>
    </w:p>
    <w:bookmarkEnd w:id="25"/>
    <w:bookmarkStart w:id="26" w:name="recommendations"/>
    <w:p>
      <w:pPr>
        <w:pStyle w:val="Heading2"/>
      </w:pPr>
      <w:r>
        <w:t xml:space="preserve">6. Recommendations</w:t>
      </w:r>
    </w:p>
    <w:p>
      <w:pPr>
        <w:pStyle w:val="FirstParagraph"/>
      </w:pPr>
      <w:r>
        <w:t xml:space="preserve">Based on the comprehensive analysis conducted for this</w:t>
      </w:r>
      <w:r>
        <w:t xml:space="preserve"> </w:t>
      </w:r>
      <w:r>
        <w:rPr>
          <w:bCs/>
          <w:b/>
        </w:rPr>
        <w:t xml:space="preserve">Peer Review Report</w:t>
      </w:r>
      <w:r>
        <w:t xml:space="preserve">, the following recommendations are made for the</w:t>
      </w:r>
      <w:r>
        <w:t xml:space="preserve"> </w:t>
      </w:r>
      <w:r>
        <w:rPr>
          <w:bCs/>
          <w:b/>
        </w:rPr>
        <w:t xml:space="preserve">Ophthalmologist</w:t>
      </w:r>
      <w:r>
        <w:t xml:space="preserve"> </w:t>
      </w:r>
      <w:r>
        <w:t xml:space="preserve">practicing in</w:t>
      </w:r>
      <w:r>
        <w:t xml:space="preserve"> </w:t>
      </w:r>
      <w:r>
        <w:rPr>
          <w:bCs/>
          <w:b/>
        </w:rPr>
        <w:t xml:space="preserve">Kuwait City</w:t>
      </w:r>
      <w:r>
        <w:t xml:space="preserve">:</w:t>
      </w:r>
    </w:p>
    <w:p>
      <w:pPr>
        <w:numPr>
          <w:ilvl w:val="0"/>
          <w:numId w:val="1002"/>
        </w:numPr>
        <w:pStyle w:val="Compact"/>
      </w:pPr>
      <w:r>
        <w:rPr>
          <w:bCs/>
          <w:b/>
        </w:rPr>
        <w:t xml:space="preserve">Enhanced Patient Education:</w:t>
      </w:r>
      <w:r>
        <w:t xml:space="preserve"> </w:t>
      </w:r>
      <w:r>
        <w:t xml:space="preserve">Develop and distribute multilingual educational materials to support patient understanding of chronic eye conditions and post-surgical care.</w:t>
      </w:r>
    </w:p>
    <w:p>
      <w:pPr>
        <w:numPr>
          <w:ilvl w:val="0"/>
          <w:numId w:val="1002"/>
        </w:numPr>
        <w:pStyle w:val="Compact"/>
      </w:pPr>
      <w:r>
        <w:rPr>
          <w:bCs/>
          <w:b/>
        </w:rPr>
        <w:t xml:space="preserve">Follow-up Optimization:</w:t>
      </w:r>
      <w:r>
        <w:t xml:space="preserve"> </w:t>
      </w:r>
      <w:r>
        <w:t xml:space="preserve">Implement a digital reminder system for follow-up appointments to reduce no-show rates and ensure timely monitoring of chronic conditions.</w:t>
      </w:r>
    </w:p>
    <w:p>
      <w:pPr>
        <w:numPr>
          <w:ilvl w:val="0"/>
          <w:numId w:val="1002"/>
        </w:numPr>
        <w:pStyle w:val="Compact"/>
      </w:pPr>
      <w:r>
        <w:rPr>
          <w:bCs/>
          <w:b/>
        </w:rPr>
        <w:t xml:space="preserve">Continuous Professional Development:</w:t>
      </w:r>
      <w:r>
        <w:t xml:space="preserve"> </w:t>
      </w:r>
      <w:r>
        <w:t xml:space="preserve">Continue participation in international ophthalmology conferences to maintain expertise in emerging surgical techniques and technologies.</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Ophthalmologist</w:t>
      </w:r>
      <w:r>
        <w:t xml:space="preserve"> </w:t>
      </w:r>
      <w:r>
        <w:t xml:space="preserve">under review provides a high standard of medical care that meets the expectations of patients in</w:t>
      </w:r>
      <w:r>
        <w:t xml:space="preserve"> </w:t>
      </w:r>
      <w:r>
        <w:rPr>
          <w:bCs/>
          <w:b/>
        </w:rPr>
        <w:t xml:space="preserve">Kuwait City</w:t>
      </w:r>
      <w:r>
        <w:t xml:space="preserve">. The clinical skills, diagnostic accuracy, and commitment to safety are exemplary. By implementing the suggested recommendations, the practice can further elevate its service quality, ensuring it remains at the forefront of ophthalmic care in the region.</w:t>
      </w:r>
    </w:p>
    <w:p>
      <w:pPr>
        <w:pStyle w:val="BodyText"/>
      </w:pPr>
      <w:r>
        <w:rPr>
          <w:bCs/>
          <w:b/>
        </w:rPr>
        <w:t xml:space="preserve">Report Prepared By:</w:t>
      </w:r>
    </w:p>
    <w:p>
      <w:pPr>
        <w:pStyle w:val="BodyText"/>
      </w:pPr>
      <w:r>
        <w:t xml:space="preserve">Dr. [Name Redacted], MD, FRCOphth</w:t>
      </w:r>
      <w:r>
        <w:br/>
      </w:r>
      <w:r>
        <w:t xml:space="preserve">Senior Consultant Ophthalmologist</w:t>
      </w:r>
      <w:r>
        <w:br/>
      </w:r>
      <w:r>
        <w:t xml:space="preserve">Peer Review Committee</w:t>
      </w:r>
    </w:p>
    <w:p>
      <w:pPr>
        <w:pStyle w:val="BodyText"/>
      </w:pPr>
      <w:r>
        <w:rPr>
          <w:bCs/>
          <w:b/>
        </w:rPr>
        <w:t xml:space="preserve">Date of Submission:</w:t>
      </w:r>
      <w:r>
        <w:t xml:space="preserve"> </w:t>
      </w:r>
      <w:r>
        <w:t xml:space="preserve">October 24, 2023</w:t>
      </w:r>
    </w:p>
    <w:p>
      <w:pPr>
        <w:pStyle w:val="BodyText"/>
      </w:pPr>
      <w:r>
        <w:t xml:space="preserve">Disclaimer: This document is a simulated Peer Review Report generated for demonstration purposes. It does not represent a real evaluation of a specific medical professional or facility in Kuwait City. All names and specific data points are fictional.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Practice in Kuwait City</dc:title>
  <dc:creator/>
  <dc:language>en</dc:language>
  <cp:keywords/>
  <dcterms:created xsi:type="dcterms:W3CDTF">2026-10-10T02:45:00Z</dcterms:created>
  <dcterms:modified xsi:type="dcterms:W3CDTF">2026-10-10T02:45:00Z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