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Practice</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Clinical Practice and Professional Competence</w:t>
      </w:r>
    </w:p>
    <w:p>
      <w:pPr>
        <w:pStyle w:val="BodyText"/>
      </w:pPr>
      <w:r>
        <w:rPr>
          <w:bCs/>
          <w:b/>
        </w:rPr>
        <w:t xml:space="preserve">Specialty:</w:t>
      </w:r>
      <w:r>
        <w:t xml:space="preserve"> </w:t>
      </w:r>
      <w:r>
        <w:t xml:space="preserve">Ophthalmology</w:t>
      </w:r>
    </w:p>
    <w:p>
      <w:pPr>
        <w:pStyle w:val="BodyText"/>
      </w:pPr>
      <w:r>
        <w:rPr>
          <w:bCs/>
          <w:b/>
        </w:rPr>
        <w:t xml:space="preserve">Location:</w:t>
      </w:r>
      <w:r>
        <w:t xml:space="preserve"> </w:t>
      </w:r>
      <w:r>
        <w:t xml:space="preserve">Malaysia Kuala Lumpur</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standards set forth by the Malaysian Medical Council (MMC) and the relevant specialty boards governing ophthalmic practice in Malaysia. The purpose of this document is to provide a comprehensive evaluation of the clinical performance, ethical conduct, and professional competence of the reviewed Ophthalmologist practicing within the metropolitan area of Malaysia Kuala Lumpur.</w:t>
      </w:r>
    </w:p>
    <w:p>
      <w:pPr>
        <w:pStyle w:val="BodyText"/>
      </w:pPr>
      <w:r>
        <w:t xml:space="preserve">The review focuses on the quality of patient care, adherence to clinical guidelines, surgical outcomes, and the integration of advanced ophthalmic technologies available in Kuala Lumpur's leading medical institutions. This report aims to ensure that the highest standards of eye care are maintained, benefiting both the practitioner and the patients served in this dynamic healthcare environment.</w:t>
      </w:r>
    </w:p>
    <w:bookmarkEnd w:id="21"/>
    <w:bookmarkStart w:id="22" w:name="practitioner-information"/>
    <w:p>
      <w:pPr>
        <w:pStyle w:val="Heading2"/>
      </w:pPr>
      <w:r>
        <w:t xml:space="preserve">2. Practitioner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[Redacted for Confidentiality]</w:t>
            </w:r>
          </w:p>
        </w:tc>
      </w:tr>
      <w:tr>
        <w:tc>
          <w:tcPr/>
          <w:p>
            <w:pPr>
              <w:pStyle w:val="Compact"/>
              <w:jc w:val="left"/>
            </w:pPr>
            <w:r>
              <w:t xml:space="preserve">Specialty</w:t>
            </w:r>
          </w:p>
        </w:tc>
        <w:tc>
          <w:tcPr/>
          <w:p>
            <w:pPr>
              <w:pStyle w:val="Compact"/>
              <w:jc w:val="left"/>
            </w:pPr>
            <w:r>
              <w:t xml:space="preserve">Ophthalmologist</w:t>
            </w:r>
          </w:p>
        </w:tc>
      </w:tr>
      <w:tr>
        <w:tc>
          <w:tcPr/>
          <w:p>
            <w:pPr>
              <w:pStyle w:val="Compact"/>
              <w:jc w:val="left"/>
            </w:pPr>
            <w:r>
              <w:t xml:space="preserve">Practice Location</w:t>
            </w:r>
          </w:p>
        </w:tc>
        <w:tc>
          <w:tcPr/>
          <w:p>
            <w:pPr>
              <w:pStyle w:val="Compact"/>
              <w:jc w:val="left"/>
            </w:pPr>
            <w:r>
              <w:t xml:space="preserve">Malaysia Kuala Lumpur</w:t>
            </w:r>
          </w:p>
        </w:tc>
      </w:tr>
      <w:tr>
        <w:tc>
          <w:tcPr/>
          <w:p>
            <w:pPr>
              <w:pStyle w:val="Compact"/>
              <w:jc w:val="left"/>
            </w:pPr>
            <w:r>
              <w:t xml:space="preserve">Years of Experience</w:t>
            </w:r>
          </w:p>
        </w:tc>
        <w:tc>
          <w:tcPr/>
          <w:p>
            <w:pPr>
              <w:pStyle w:val="Compact"/>
              <w:jc w:val="left"/>
            </w:pPr>
            <w:r>
              <w:t xml:space="preserve">15 Years</w:t>
            </w:r>
          </w:p>
        </w:tc>
      </w:tr>
      <w:tr>
        <w:tc>
          <w:tcPr/>
          <w:p>
            <w:pPr>
              <w:pStyle w:val="Compact"/>
              <w:jc w:val="left"/>
            </w:pPr>
            <w:r>
              <w:t xml:space="preserve">MMC Registration Number</w:t>
            </w:r>
          </w:p>
        </w:tc>
        <w:tc>
          <w:tcPr/>
          <w:p>
            <w:pPr>
              <w:pStyle w:val="Compact"/>
              <w:jc w:val="left"/>
            </w:pPr>
            <w:r>
              <w:t xml:space="preserve">[Redacted]</w:t>
            </w:r>
          </w:p>
        </w:tc>
      </w:tr>
    </w:tbl>
    <w:bookmarkEnd w:id="22"/>
    <w:bookmarkStart w:id="23" w:name="clinical-competence-and-patient-care"/>
    <w:p>
      <w:pPr>
        <w:pStyle w:val="Heading2"/>
      </w:pPr>
      <w:r>
        <w:t xml:space="preserve">3. Clinical Competence and Patient Care</w:t>
      </w:r>
    </w:p>
    <w:p>
      <w:pPr>
        <w:pStyle w:val="FirstParagraph"/>
      </w:pPr>
      <w:r>
        <w:t xml:space="preserve">The reviewed Ophthalmologist demonstrates a high level of clinical competence in diagnosing and managing a wide range of ocular conditions prevalent in Malaysia Kuala Lumpur, including diabetic retinopathy, glaucoma, cataracts, and age-related macular degeneration. The practitioner's approach to patient care is thorough, with detailed history-taking and comprehensive eye examinations conducted using state-of-the-art diagnostic equipment.</w:t>
      </w:r>
    </w:p>
    <w:p>
      <w:pPr>
        <w:pStyle w:val="BodyText"/>
      </w:pPr>
      <w:r>
        <w:t xml:space="preserve">In the context of Malaysia Kuala Lumpur's diverse population, the Ophthalmologist shows cultural sensitivity and effective communication skills, ensuring that patients from various backgrounds understand their conditions and treatment options. The use of clear, concise language and visual aids enhances patient comprehension and engagement in their care plans.</w:t>
      </w:r>
    </w:p>
    <w:bookmarkEnd w:id="23"/>
    <w:bookmarkStart w:id="24" w:name="surgical-skills-and-outcomes"/>
    <w:p>
      <w:pPr>
        <w:pStyle w:val="Heading2"/>
      </w:pPr>
      <w:r>
        <w:t xml:space="preserve">4. Surgical Skills and Outcomes</w:t>
      </w:r>
    </w:p>
    <w:p>
      <w:pPr>
        <w:pStyle w:val="FirstParagraph"/>
      </w:pPr>
      <w:r>
        <w:t xml:space="preserve">A significant aspect of this Peer Review Report is the evaluation of the Ophthalmologist's surgical skills. The practitioner has performed numerous cataract surgeries, including phacoemulsification with intraocular lens implantation, with excellent outcomes. The complication rate is well below the national average, reflecting meticulous surgical technique and adherence to sterile protocols.</w:t>
      </w:r>
    </w:p>
    <w:p>
      <w:pPr>
        <w:pStyle w:val="BodyText"/>
      </w:pPr>
      <w:r>
        <w:t xml:space="preserve">Additionally, the Ophthalmologist is proficient in laser procedures such as YAG laser capsulotomy and selective laser trabeculoplasty for glaucoma management. The integration of advanced surgical technologies available in Malaysia Kuala Lumpur's leading eye centers further enhances the quality of care provided.</w:t>
      </w:r>
    </w:p>
    <w:bookmarkEnd w:id="24"/>
    <w:bookmarkStart w:id="25" w:name="adherence-to-clinical-guidelines"/>
    <w:p>
      <w:pPr>
        <w:pStyle w:val="Heading2"/>
      </w:pPr>
      <w:r>
        <w:t xml:space="preserve">5. Adherence to Clinical Guidelines</w:t>
      </w:r>
    </w:p>
    <w:p>
      <w:pPr>
        <w:pStyle w:val="FirstParagraph"/>
      </w:pPr>
      <w:r>
        <w:t xml:space="preserve">The reviewed Ophthalmologist consistently adheres to the clinical guidelines established by the Malaysian Ophthalmological Society and international standards. Treatment protocols for conditions such as diabetic retinopathy are aligned with the latest evidence-based practices, ensuring optimal patient outcomes.</w:t>
      </w:r>
    </w:p>
    <w:p>
      <w:pPr>
        <w:pStyle w:val="BodyText"/>
      </w:pPr>
      <w:r>
        <w:t xml:space="preserve">Regular participation in continuing medical education (CME) activities and conferences in Malaysia Kuala Lumpur demonstrates a commitment to staying updated with advancements in ophthalmic care. This ongoing professional development is crucial for maintaining high standards of practice.</w:t>
      </w:r>
    </w:p>
    <w:bookmarkEnd w:id="25"/>
    <w:bookmarkStart w:id="26" w:name="ethical-conduct-and-professionalism"/>
    <w:p>
      <w:pPr>
        <w:pStyle w:val="Heading2"/>
      </w:pPr>
      <w:r>
        <w:t xml:space="preserve">6. Ethical Conduct and Professionalism</w:t>
      </w:r>
    </w:p>
    <w:p>
      <w:pPr>
        <w:pStyle w:val="FirstParagraph"/>
      </w:pPr>
      <w:r>
        <w:t xml:space="preserve">The Ophthalmologist exhibits exemplary ethical conduct and professionalism in all aspects of practice. Patient confidentiality is strictly maintained, and informed consent is obtained for all procedures, ensuring that patients are fully aware of the risks and benefits involved.</w:t>
      </w:r>
    </w:p>
    <w:p>
      <w:pPr>
        <w:pStyle w:val="BodyText"/>
      </w:pPr>
      <w:r>
        <w:t xml:space="preserve">The practitioner collaborates effectively with other healthcare professionals in Malaysia Kuala Lumpur, including optometrists, endocrinologists, and primary care physicians, to provide holistic care for patients with complex ocular and systemic conditions.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engage in regular CME activities to stay abreast of advancements in ophthalmic care.</w:t>
      </w:r>
    </w:p>
    <w:p>
      <w:pPr>
        <w:numPr>
          <w:ilvl w:val="0"/>
          <w:numId w:val="1001"/>
        </w:numPr>
        <w:pStyle w:val="Compact"/>
      </w:pPr>
      <w:r>
        <w:t xml:space="preserve">Consider participating in multicenter clinical trials to contribute to the body of knowledge in ophthalmology.</w:t>
      </w:r>
    </w:p>
    <w:p>
      <w:pPr>
        <w:numPr>
          <w:ilvl w:val="0"/>
          <w:numId w:val="1001"/>
        </w:numPr>
        <w:pStyle w:val="Compact"/>
      </w:pPr>
      <w:r>
        <w:t xml:space="preserve">Enhance patient education materials to address the specific needs of the diverse population in Malaysia Kuala Lumpur.</w:t>
      </w:r>
    </w:p>
    <w:bookmarkEnd w:id="27"/>
    <w:bookmarkStart w:id="28" w:name="conclusion"/>
    <w:p>
      <w:pPr>
        <w:pStyle w:val="Heading2"/>
      </w:pPr>
      <w:r>
        <w:t xml:space="preserve">8. Conclusion</w:t>
      </w:r>
    </w:p>
    <w:p>
      <w:pPr>
        <w:pStyle w:val="FirstParagraph"/>
      </w:pPr>
      <w:r>
        <w:t xml:space="preserve">In conclusion, this Peer Review Report affirms that the reviewed Ophthalmologist practicing in Malaysia Kuala Lumpur meets and exceeds the standards of clinical competence, ethical conduct, and professional excellence expected of a specialist in this field. The practitioner's dedication to providing high-quality eye care contributes significantly to the health and well-being of the community.</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Practice in Malaysia Kuala Lumpur</dc:title>
  <dc:creator/>
  <dc:language>en</dc:language>
  <cp:keywords/>
  <dcterms:created xsi:type="dcterms:W3CDTF">2026-10-10T06:31:51Z</dcterms:created>
  <dcterms:modified xsi:type="dcterms:W3CDTF">2026-10-10T06:31:51Z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