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Amsterdam, Netherlands</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professional conduct, and adherence to medical standards of the designated Ophthalmologist practicing within the healthcare infrastructure of Amsterdam, Netherlands. The review process was conducted in strict accordance with the guidelines established by the Royal Dutch Medical Association (KNMG) and the specific specialty requirements of the Dutch Ophthalmological Society (NOG). The primary objective of this assessment is to ensure that the highest standards of patient care, diagnostic accuracy, and surgical proficiency are maintained within this specialized field.</w:t>
      </w:r>
    </w:p>
    <w:p>
      <w:pPr>
        <w:pStyle w:val="BodyText"/>
      </w:pPr>
      <w:r>
        <w:t xml:space="preserve">The evaluation encompasses a comprehensive analysis of medical records, surgical outcomes, peer feedback, and compliance with local and national regulatory frameworks. The findings presented herein reflect a thorough examination of the Ophthalmologist’s practice over the preceding twelve months.</w:t>
      </w:r>
    </w:p>
    <w:bookmarkEnd w:id="21"/>
    <w:bookmarkStart w:id="22" w:name="introduction-and-scope"/>
    <w:p>
      <w:pPr>
        <w:pStyle w:val="Heading2"/>
      </w:pPr>
      <w:r>
        <w:t xml:space="preserve">2. Introduction and Scope</w:t>
      </w:r>
    </w:p>
    <w:p>
      <w:pPr>
        <w:pStyle w:val="FirstParagraph"/>
      </w:pPr>
      <w:r>
        <w:t xml:space="preserve">Ophthalmology is a highly specialized branch of medicine requiring precise diagnostic skills and advanced surgical techniques. In Amsterdam, a hub for medical innovation and research in the Netherlands, the expectations for ophthalmic care are exceptionally high. This Peer Review Report aims to assess whether the subject Ophthalmologist meets these rigorous expectations.</w:t>
      </w:r>
    </w:p>
    <w:p>
      <w:pPr>
        <w:pStyle w:val="BodyText"/>
      </w:pPr>
      <w:r>
        <w:t xml:space="preserve">The scope of this review includes:</w:t>
      </w:r>
    </w:p>
    <w:p>
      <w:pPr>
        <w:numPr>
          <w:ilvl w:val="0"/>
          <w:numId w:val="1001"/>
        </w:numPr>
        <w:pStyle w:val="Compact"/>
      </w:pPr>
      <w:r>
        <w:t xml:space="preserve">Clinical decision-making and diagnostic accuracy.</w:t>
      </w:r>
    </w:p>
    <w:p>
      <w:pPr>
        <w:numPr>
          <w:ilvl w:val="0"/>
          <w:numId w:val="1001"/>
        </w:numPr>
        <w:pStyle w:val="Compact"/>
      </w:pPr>
      <w:r>
        <w:t xml:space="preserve">Surgical outcomes and complication management.</w:t>
      </w:r>
    </w:p>
    <w:p>
      <w:pPr>
        <w:numPr>
          <w:ilvl w:val="0"/>
          <w:numId w:val="1001"/>
        </w:numPr>
        <w:pStyle w:val="Compact"/>
      </w:pPr>
      <w:r>
        <w:t xml:space="preserve">Patient communication and informed consent processes.</w:t>
      </w:r>
    </w:p>
    <w:p>
      <w:pPr>
        <w:numPr>
          <w:ilvl w:val="0"/>
          <w:numId w:val="1001"/>
        </w:numPr>
        <w:pStyle w:val="Compact"/>
      </w:pPr>
      <w:r>
        <w:t xml:space="preserve">Adherence to the Dutch Medical Treatment Agreement Act (WGBO).</w:t>
      </w:r>
    </w:p>
    <w:p>
      <w:pPr>
        <w:numPr>
          <w:ilvl w:val="0"/>
          <w:numId w:val="1001"/>
        </w:numPr>
        <w:pStyle w:val="Compact"/>
      </w:pPr>
      <w:r>
        <w:t xml:space="preserve">Collaboration with multidisciplinary teams within Amsterdam’s hospital networks.</w:t>
      </w:r>
    </w:p>
    <w:bookmarkEnd w:id="22"/>
    <w:bookmarkStart w:id="23" w:name="X6f6d8d8ffcf3aa95c70f273d3a05cc874ff8c55"/>
    <w:p>
      <w:pPr>
        <w:pStyle w:val="Heading2"/>
      </w:pPr>
      <w:r>
        <w:t xml:space="preserve">3. Clinical Competency and Diagnostic Accuracy</w:t>
      </w:r>
    </w:p>
    <w:p>
      <w:pPr>
        <w:pStyle w:val="FirstParagraph"/>
      </w:pPr>
      <w:r>
        <w:t xml:space="preserve">The review of patient files indicates that the Ophthalmologist demonstrates a high level of clinical competency. Diagnostic protocols for common conditions such as cataracts, glaucoma, and macular degeneration are followed meticulously. The utilization of advanced imaging technologies, standard in Amsterdam’s leading medical centers, is appropriate and effectively integrated into patient care plans.</w:t>
      </w:r>
    </w:p>
    <w:p>
      <w:pPr>
        <w:pStyle w:val="BodyText"/>
      </w:pPr>
      <w:r>
        <w:t xml:space="preserve">Furthermore, the Ophthalmologist shows a strong commitment to evidence-based medicine. Treatment plans are consistently aligned with the latest clinical guidelines published by the NOG. The accuracy of diagnoses, as verified by subsequent peer consultations and follow-up assessments, is commendable. There are no significant discrepancies noted between initial diagnoses and final clinical outcomes.</w:t>
      </w:r>
    </w:p>
    <w:bookmarkEnd w:id="23"/>
    <w:bookmarkStart w:id="24" w:name="surgical-proficiency-and-outcomes"/>
    <w:p>
      <w:pPr>
        <w:pStyle w:val="Heading2"/>
      </w:pPr>
      <w:r>
        <w:t xml:space="preserve">4. Surgical Proficiency and Outcomes</w:t>
      </w:r>
    </w:p>
    <w:p>
      <w:pPr>
        <w:pStyle w:val="FirstParagraph"/>
      </w:pPr>
      <w:r>
        <w:t xml:space="preserve">Surgical performance is a critical component of ophthalmic practice. This Peer Review Report analyzed a sample of surgical cases, including phacoemulsification, vitrectomy, and laser procedures. The data reveals that the Ophthalmologist maintains a low rate of surgical complications, which is consistent with national benchmarks in the Netherlands.</w:t>
      </w:r>
    </w:p>
    <w:p>
      <w:pPr>
        <w:pStyle w:val="BodyText"/>
      </w:pPr>
      <w:r>
        <w:t xml:space="preserve">Post-operative care protocols are robust, ensuring that patients receive timely follow-up and appropriate management of any adverse events. The Ophthalmologist’s ability to handle intraoperative complications with composure and technical skill is evident in the case reviews. This proficiency contributes significantly to positive patient outcomes and satisfaction levels in Amsterdam.</w:t>
      </w:r>
    </w:p>
    <w:bookmarkEnd w:id="24"/>
    <w:bookmarkStart w:id="25" w:name="X4c411c2114de9dd2df51bc7d0cf42c9b4ffc145"/>
    <w:p>
      <w:pPr>
        <w:pStyle w:val="Heading2"/>
      </w:pPr>
      <w:r>
        <w:t xml:space="preserve">5. Professional Conduct and Patient Communication</w:t>
      </w:r>
    </w:p>
    <w:p>
      <w:pPr>
        <w:pStyle w:val="FirstParagraph"/>
      </w:pPr>
      <w:r>
        <w:t xml:space="preserve">Effective communication is paramount in healthcare. The Ophthalmologist is noted for their clear and empathetic communication style, which facilitates informed decision-making by patients. The process of obtaining informed consent is documented thoroughly, adhering to the legal requirements of the WGBO.</w:t>
      </w:r>
    </w:p>
    <w:p>
      <w:pPr>
        <w:pStyle w:val="BodyText"/>
      </w:pPr>
      <w:r>
        <w:t xml:space="preserve">Feedback from patients and colleagues highlights the Ophthalmologist’s professionalism and respect for patient autonomy. The ability to explain complex ophthalmic conditions in understandable terms is particularly valued. This aspect of practice is crucial in Amsterdam, where patients are increasingly involved in their healthcare decisions.</w:t>
      </w:r>
    </w:p>
    <w:bookmarkEnd w:id="25"/>
    <w:bookmarkStart w:id="26" w:name="compliance-with-regulatory-standards"/>
    <w:p>
      <w:pPr>
        <w:pStyle w:val="Heading2"/>
      </w:pPr>
      <w:r>
        <w:t xml:space="preserve">6. Compliance with Regulatory Standards</w:t>
      </w:r>
    </w:p>
    <w:p>
      <w:pPr>
        <w:pStyle w:val="FirstParagraph"/>
      </w:pPr>
      <w:r>
        <w:t xml:space="preserve">The Ophthalmologist’s practice is in full compliance with the regulatory standards set by the Dutch Healthcare Authority (NZa) and the KNMG. Documentation practices are meticulous, ensuring that all patient interactions and treatments are accurately recorded. This level of documentation is essential for maintaining transparency and accountability in medical practice.</w:t>
      </w:r>
    </w:p>
    <w:p>
      <w:pPr>
        <w:pStyle w:val="BodyText"/>
      </w:pPr>
      <w:r>
        <w:t xml:space="preserve">Additionally, the Ophthalmologist actively participates in continuing medical education (CME) activities, staying updated with the latest advancements in ophthalmology. This commitment to lifelong learning is a key requirement for maintaining registration with the Dutch Medical Specialists Register.</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adhere to the current high standards of clinical practice and surgical care.</w:t>
      </w:r>
    </w:p>
    <w:p>
      <w:pPr>
        <w:numPr>
          <w:ilvl w:val="0"/>
          <w:numId w:val="1002"/>
        </w:numPr>
        <w:pStyle w:val="Compact"/>
      </w:pPr>
      <w:r>
        <w:t xml:space="preserve">Engage in further interdisciplinary collaboration to enhance patient care pathways.</w:t>
      </w:r>
    </w:p>
    <w:p>
      <w:pPr>
        <w:numPr>
          <w:ilvl w:val="0"/>
          <w:numId w:val="1002"/>
        </w:numPr>
        <w:pStyle w:val="Compact"/>
      </w:pPr>
      <w:r>
        <w:t xml:space="preserve">Consider participating in research initiatives to contribute to the advancement of ophthalmic care in the Netherlands.</w:t>
      </w:r>
    </w:p>
    <w:bookmarkEnd w:id="27"/>
    <w:bookmarkStart w:id="28" w:name="conclusion"/>
    <w:p>
      <w:pPr>
        <w:pStyle w:val="Heading2"/>
      </w:pPr>
      <w:r>
        <w:t xml:space="preserve">8. Conclusion</w:t>
      </w:r>
    </w:p>
    <w:p>
      <w:pPr>
        <w:pStyle w:val="FirstParagraph"/>
      </w:pPr>
      <w:r>
        <w:t xml:space="preserve">In conclusion, this Peer Review Report affirms that the Ophthalmologist under review demonstrates exceptional clinical skills, professional integrity, and a strong commitment to patient care. Their practice aligns with the high standards expected in Amsterdam, Netherlands, and contributes positively to the field of ophthalmology. The Ophthalmologist is deemed fully competent to continue their practice without restrictions.</w:t>
      </w:r>
    </w:p>
    <w:bookmarkEnd w:id="28"/>
    <w:p>
      <w:pPr>
        <w:pStyle w:val="BodyText"/>
      </w:pPr>
      <w:r>
        <w:rPr>
          <w:bCs/>
          <w:b/>
        </w:rPr>
        <w:t xml:space="preserve">Prepared by:</w:t>
      </w:r>
    </w:p>
    <w:p>
      <w:pPr>
        <w:pStyle w:val="BodyText"/>
      </w:pPr>
      <w:r>
        <w:t xml:space="preserve">Dr. [Reviewer Name]</w:t>
      </w:r>
    </w:p>
    <w:p>
      <w:pPr>
        <w:pStyle w:val="BodyText"/>
      </w:pPr>
      <w:r>
        <w:t xml:space="preserve">Senior Ophthalmologist</w:t>
      </w:r>
    </w:p>
    <w:p>
      <w:pPr>
        <w:pStyle w:val="BodyText"/>
      </w:pPr>
      <w:r>
        <w:t xml:space="preserve">Amsterdam Medical Center</w:t>
      </w:r>
    </w:p>
    <w:p>
      <w:pPr>
        <w:pStyle w:val="BodyText"/>
      </w:pPr>
      <w:r>
        <w:t xml:space="preserve">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Amsterdam, Netherlands</dc:title>
  <dc:creator/>
  <dc:language>en</dc:language>
  <cp:keywords/>
  <dcterms:created xsi:type="dcterms:W3CDTF">2026-10-10T03:52:08Z</dcterms:created>
  <dcterms:modified xsi:type="dcterms:W3CDTF">2026-10-10T03:52:08Z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