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Assessment of Ophthalmologist</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patient care standards, and professional conduct of the designated Ophthalmologist practicing within the Wellington region of New Zealand. The review aligns with the guidelines set forth by the Medical Council of New Zealand and the Royal New Zealand College of Ophthalmologists. The primary objective is to ensure that the ophthalmic services provided meet the highest standards of safety, efficacy, and patient-centered care expected in the Wellington healthcare ecosystem.</w:t>
      </w:r>
    </w:p>
    <w:p>
      <w:pPr>
        <w:pStyle w:val="BodyText"/>
      </w:pPr>
      <w:r>
        <w:t xml:space="preserve">The assessment covers a comprehensive range of activities, including surgical outcomes, diagnostic accuracy, adherence to clinical protocols, and interaction with multidisciplinary teams. The findings indicate a generally high standard of practice, with specific areas identified for continuous improvement to further enhance patient outcomes in this specialized field.</w:t>
      </w:r>
    </w:p>
    <w:bookmarkEnd w:id="21"/>
    <w:bookmarkStart w:id="22" w:name="introduction-and-scope"/>
    <w:p>
      <w:pPr>
        <w:pStyle w:val="Heading2"/>
      </w:pPr>
      <w:r>
        <w:t xml:space="preserve">2. Introduction and Scope</w:t>
      </w:r>
    </w:p>
    <w:p>
      <w:pPr>
        <w:pStyle w:val="FirstParagraph"/>
      </w:pPr>
      <w:r>
        <w:t xml:space="preserve">Ophthalmology is a highly specialized branch of medicine requiring precise diagnostic skills and surgical expertise. In New Zealand Wellington, where access to specialized eye care is critical for both urban and surrounding rural populations, the role of the Ophthalmologist is pivotal. This Peer Review Report focuses on the following key domains:</w:t>
      </w:r>
    </w:p>
    <w:p>
      <w:pPr>
        <w:numPr>
          <w:ilvl w:val="0"/>
          <w:numId w:val="1001"/>
        </w:numPr>
        <w:pStyle w:val="Compact"/>
      </w:pPr>
      <w:r>
        <w:t xml:space="preserve">Clinical Competence and Surgical Outcomes</w:t>
      </w:r>
    </w:p>
    <w:p>
      <w:pPr>
        <w:numPr>
          <w:ilvl w:val="0"/>
          <w:numId w:val="1001"/>
        </w:numPr>
        <w:pStyle w:val="Compact"/>
      </w:pPr>
      <w:r>
        <w:t xml:space="preserve">Patient Safety and Risk Management</w:t>
      </w:r>
    </w:p>
    <w:p>
      <w:pPr>
        <w:numPr>
          <w:ilvl w:val="0"/>
          <w:numId w:val="1001"/>
        </w:numPr>
        <w:pStyle w:val="Compact"/>
      </w:pPr>
      <w:r>
        <w:t xml:space="preserve">Adherence to Clinical Guidelines</w:t>
      </w:r>
    </w:p>
    <w:p>
      <w:pPr>
        <w:numPr>
          <w:ilvl w:val="0"/>
          <w:numId w:val="1001"/>
        </w:numPr>
        <w:pStyle w:val="Compact"/>
      </w:pPr>
      <w:r>
        <w:t xml:space="preserve">Professionalism and Communication</w:t>
      </w:r>
    </w:p>
    <w:p>
      <w:pPr>
        <w:numPr>
          <w:ilvl w:val="0"/>
          <w:numId w:val="1001"/>
        </w:numPr>
        <w:pStyle w:val="Compact"/>
      </w:pPr>
      <w:r>
        <w:t xml:space="preserve">Continuing Professional Development (CPD)</w:t>
      </w:r>
    </w:p>
    <w:p>
      <w:pPr>
        <w:pStyle w:val="FirstParagraph"/>
      </w:pPr>
      <w:r>
        <w:t xml:space="preserve">The review methodology included a retrospective analysis of 150 patient files, direct observation of surgical procedures, interviews with nursing staff, and a review of patient feedback mechanisms.</w:t>
      </w:r>
    </w:p>
    <w:bookmarkEnd w:id="22"/>
    <w:bookmarkStart w:id="23" w:name="Xa882c91f75d1156c5c30bb9424ac172a97c732a"/>
    <w:p>
      <w:pPr>
        <w:pStyle w:val="Heading2"/>
      </w:pPr>
      <w:r>
        <w:t xml:space="preserve">3. Clinical Competence and Surgical Outcomes</w:t>
      </w:r>
    </w:p>
    <w:p>
      <w:pPr>
        <w:pStyle w:val="FirstParagraph"/>
      </w:pPr>
      <w:r>
        <w:t xml:space="preserve">The Ophthalmologist demonstrates a robust command of current ophthalmic techniques. The review of surgical logs indicates a high volume of cataract surgeries, glaucoma interventions, and retinal procedures performed during the review period.</w:t>
      </w:r>
    </w:p>
    <w:p>
      <w:pPr>
        <w:pStyle w:val="BodyText"/>
      </w:pPr>
      <w:r>
        <w:rPr>
          <w:bCs/>
          <w:b/>
        </w:rPr>
        <w:t xml:space="preserve">Cataract Surgery:</w:t>
      </w:r>
      <w:r>
        <w:t xml:space="preserve"> </w:t>
      </w:r>
      <w:r>
        <w:t xml:space="preserve">Visual acuity outcomes post-cataract surgery were analyzed against national benchmarks. The data shows that 92% of patients achieved a visual acuity of 6/12 or better within three months post-operation, which exceeds the average standard for Wellington-based practices.</w:t>
      </w:r>
    </w:p>
    <w:p>
      <w:pPr>
        <w:pStyle w:val="BodyText"/>
      </w:pPr>
      <w:r>
        <w:rPr>
          <w:bCs/>
          <w:b/>
        </w:rPr>
        <w:t xml:space="preserve">Glaucoma Management:</w:t>
      </w:r>
      <w:r>
        <w:t xml:space="preserve"> </w:t>
      </w:r>
      <w:r>
        <w:t xml:space="preserve">The management of glaucoma cases was found to be thorough, with regular monitoring of intraocular pressure (IOP) and visual fields. The Ophthalmologist adheres strictly to the New Zealand Glaucoma Guidelines, ensuring timely intervention to prevent vision loss.</w:t>
      </w:r>
    </w:p>
    <w:p>
      <w:pPr>
        <w:pStyle w:val="BodyText"/>
      </w:pPr>
      <w:r>
        <w:rPr>
          <w:bCs/>
          <w:b/>
        </w:rPr>
        <w:t xml:space="preserve">Retinal Pathology:</w:t>
      </w:r>
      <w:r>
        <w:t xml:space="preserve"> </w:t>
      </w:r>
      <w:r>
        <w:t xml:space="preserve">Cases involving diabetic retinopathy and age-related macular degeneration were managed with appropriate use of anti-VEGF injections and laser therapy. The documentation of these procedures was detailed and accurate.</w:t>
      </w:r>
    </w:p>
    <w:bookmarkEnd w:id="23"/>
    <w:bookmarkStart w:id="24" w:name="patient-safety-and-risk-management"/>
    <w:p>
      <w:pPr>
        <w:pStyle w:val="Heading2"/>
      </w:pPr>
      <w:r>
        <w:t xml:space="preserve">4. Patient Safety and Risk Management</w:t>
      </w:r>
    </w:p>
    <w:p>
      <w:pPr>
        <w:pStyle w:val="FirstParagraph"/>
      </w:pPr>
      <w:r>
        <w:t xml:space="preserve">Patient safety is paramount in ophthalmic practice. The review assessed the Ophthalmologist's adherence to infection control protocols, particularly in the context of surgical site infections (SSIs).</w:t>
      </w:r>
    </w:p>
    <w:p>
      <w:pPr>
        <w:pStyle w:val="BodyText"/>
      </w:pPr>
      <w:r>
        <w:t xml:space="preserve">The incidence of endophthalmitis and other post-operative infections was within the acceptable range defined by the Royal New Zealand College of Ophthalmologists. The use of pre-operative antibiotic prophylaxis and sterile technique was consistently observed.</w:t>
      </w:r>
    </w:p>
    <w:p>
      <w:pPr>
        <w:pStyle w:val="BodyText"/>
      </w:pPr>
      <w:r>
        <w:t xml:space="preserve">Additionally, the management of adverse events was reviewed. The Ophthalmologist demonstrated transparency and promptness in reporting any complications to the relevant authorities in New Zealand Wellington, ensuring that lessons learned were integrated into future practice.</w:t>
      </w:r>
    </w:p>
    <w:bookmarkEnd w:id="24"/>
    <w:bookmarkStart w:id="25" w:name="adherence-to-clinical-guidelines"/>
    <w:p>
      <w:pPr>
        <w:pStyle w:val="Heading2"/>
      </w:pPr>
      <w:r>
        <w:t xml:space="preserve">5. Adherence to Clinical Guidelines</w:t>
      </w:r>
    </w:p>
    <w:p>
      <w:pPr>
        <w:pStyle w:val="FirstParagraph"/>
      </w:pPr>
      <w:r>
        <w:t xml:space="preserve">The Ophthalmologist was found to be well-versed in the latest clinical guidelines issued by the Medical Council of New Zealand and international ophthalmic bodies. Treatment plans were evidence-based, with appropriate consideration of patient comorbidities and preferences.</w:t>
      </w:r>
    </w:p>
    <w:p>
      <w:pPr>
        <w:pStyle w:val="BodyText"/>
      </w:pPr>
      <w:r>
        <w:t xml:space="preserve">The use of diagnostic imaging, such as Optical Coherence Tomography (OCT) and fundus photography, was appropriate and contributed significantly to accurate diagnoses. The integration of these technologies into routine practice reflects a commitment to modern ophthalmic care in Wellington.</w:t>
      </w:r>
    </w:p>
    <w:bookmarkEnd w:id="25"/>
    <w:bookmarkStart w:id="26" w:name="professionalism-and-communication"/>
    <w:p>
      <w:pPr>
        <w:pStyle w:val="Heading2"/>
      </w:pPr>
      <w:r>
        <w:t xml:space="preserve">6. Professionalism and Communication</w:t>
      </w:r>
    </w:p>
    <w:p>
      <w:pPr>
        <w:pStyle w:val="FirstParagraph"/>
      </w:pPr>
      <w:r>
        <w:t xml:space="preserve">Effective communication is essential for building trust and ensuring patient compliance. The Ophthalmologist was observed to communicate clearly with patients, explaining complex conditions and treatment options in an understandable manner.</w:t>
      </w:r>
    </w:p>
    <w:p>
      <w:pPr>
        <w:pStyle w:val="BodyText"/>
      </w:pPr>
      <w:r>
        <w:t xml:space="preserve">Feedback from patients and colleagues highlighted the Ophthalmologist's empathetic approach and willingness to address patient concerns. Collaboration with optometrists, general practitioners, and other specialists in the Wellington region was noted to be effective, facilitating seamless patient care pathways.</w:t>
      </w:r>
    </w:p>
    <w:bookmarkEnd w:id="26"/>
    <w:bookmarkStart w:id="27" w:name="continuing-professional-development-cpd"/>
    <w:p>
      <w:pPr>
        <w:pStyle w:val="Heading2"/>
      </w:pPr>
      <w:r>
        <w:t xml:space="preserve">7. Continuing Professional Development (CPD)</w:t>
      </w:r>
    </w:p>
    <w:p>
      <w:pPr>
        <w:pStyle w:val="FirstParagraph"/>
      </w:pPr>
      <w:r>
        <w:t xml:space="preserve">The Ophthalmologist maintains an active CPD portfolio, participating in regular conferences, workshops, and journal clubs. This commitment to lifelong learning ensures that their practice remains at the forefront of ophthalmic advancements.</w:t>
      </w:r>
    </w:p>
    <w:p>
      <w:pPr>
        <w:pStyle w:val="BodyText"/>
      </w:pPr>
      <w:r>
        <w:t xml:space="preserve">Specific CPD activities related to emerging treatments in retinal diseases and minimally invasive glaucoma surgery were noted, demonstrating a proactive approach to skill enhancement.</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monitor and document surgical outcomes systematically to facilitate ongoing quality improvement.</w:t>
      </w:r>
    </w:p>
    <w:p>
      <w:pPr>
        <w:numPr>
          <w:ilvl w:val="0"/>
          <w:numId w:val="1002"/>
        </w:numPr>
        <w:pStyle w:val="Compact"/>
      </w:pPr>
      <w:r>
        <w:t xml:space="preserve">Enhance patient education materials to further support post-operative care and compliance.</w:t>
      </w:r>
    </w:p>
    <w:p>
      <w:pPr>
        <w:numPr>
          <w:ilvl w:val="0"/>
          <w:numId w:val="1002"/>
        </w:numPr>
        <w:pStyle w:val="Compact"/>
      </w:pPr>
      <w:r>
        <w:t xml:space="preserve">Engage in multidisciplinary case conferences to discuss complex cases and share best practices within the Wellington ophthalmic community.</w:t>
      </w:r>
    </w:p>
    <w:bookmarkEnd w:id="28"/>
    <w:bookmarkStart w:id="29" w:name="conclusion"/>
    <w:p>
      <w:pPr>
        <w:pStyle w:val="Heading2"/>
      </w:pPr>
      <w:r>
        <w:t xml:space="preserve">9. Conclusion</w:t>
      </w:r>
    </w:p>
    <w:p>
      <w:pPr>
        <w:pStyle w:val="FirstParagraph"/>
      </w:pPr>
      <w:r>
        <w:t xml:space="preserve">This Peer Review Report concludes that the Ophthalmologist under review provides a high standard of care that is consistent with the expectations of the Medical Council of New Zealand and the Royal New Zealand College of Ophthalmologists. The practice in New Zealand Wellington is characterized by clinical excellence, a strong commitment to patient safety, and a dedication to continuous improvement. The recommendations provided are intended to support further enhancement of an already robust practice.</w:t>
      </w:r>
    </w:p>
    <w:bookmarkEnd w:id="29"/>
    <w:p>
      <w:pPr>
        <w:pStyle w:val="BodyText"/>
      </w:pPr>
      <w:r>
        <w:rPr>
          <w:bCs/>
          <w:b/>
        </w:rPr>
        <w:t xml:space="preserve">Reviewed by:</w:t>
      </w:r>
    </w:p>
    <w:p>
      <w:pPr>
        <w:pStyle w:val="BodyText"/>
      </w:pPr>
      <w:r>
        <w:t xml:space="preserve">Dr. Jane Doe, FRANZCO</w:t>
      </w:r>
    </w:p>
    <w:p>
      <w:pPr>
        <w:pStyle w:val="BodyText"/>
      </w:pPr>
      <w:r>
        <w:t xml:space="preserve">Senior Ophthalmologist</w:t>
      </w:r>
    </w:p>
    <w:p>
      <w:pPr>
        <w:pStyle w:val="BodyText"/>
      </w:pPr>
      <w:r>
        <w:t xml:space="preserve">Wellington 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Practice Assessment</dc:title>
  <dc:creator/>
  <dc:language>en</dc:language>
  <cp:keywords/>
  <dcterms:created xsi:type="dcterms:W3CDTF">2026-10-10T05:52:48Z</dcterms:created>
  <dcterms:modified xsi:type="dcterms:W3CDTF">2026-10-10T05:52:48Z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