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t xml:space="preserve">Clinical Competency and Professional Practice Assessment</w:t>
      </w:r>
    </w:p>
    <w:bookmarkEnd w:id="20"/>
    <w:p>
      <w:pPr>
        <w:pStyle w:val="BodyText"/>
      </w:pPr>
      <w:r>
        <w:rPr>
          <w:bCs/>
          <w:b/>
        </w:rPr>
        <w:t xml:space="preserve">Subject Specialty:</w:t>
      </w:r>
      <w:r>
        <w:t xml:space="preserve"> </w:t>
      </w:r>
      <w:r>
        <w:t xml:space="preserve">Ophthalmology</w:t>
      </w:r>
    </w:p>
    <w:p>
      <w:pPr>
        <w:pStyle w:val="BodyText"/>
      </w:pPr>
      <w:r>
        <w:rPr>
          <w:bCs/>
          <w:b/>
        </w:rPr>
        <w:t xml:space="preserve">Location:</w:t>
      </w:r>
      <w:r>
        <w:t xml:space="preserve"> </w:t>
      </w:r>
      <w:r>
        <w:t xml:space="preserve">Pakistan Karachi</w:t>
      </w:r>
    </w:p>
    <w:p>
      <w:pPr>
        <w:pStyle w:val="BodyText"/>
      </w:pPr>
      <w:r>
        <w:rPr>
          <w:bCs/>
          <w:b/>
        </w:rPr>
        <w:t xml:space="preserve">Review Date:</w:t>
      </w:r>
      <w:r>
        <w:t xml:space="preserve"> </w:t>
      </w:r>
      <w:r>
        <w:t xml:space="preserve">October 24, 2023</w:t>
      </w:r>
    </w:p>
    <w:p>
      <w:pPr>
        <w:pStyle w:val="BodyText"/>
      </w:pPr>
      <w:r>
        <w:rPr>
          <w:bCs/>
          <w:b/>
        </w:rPr>
        <w:t xml:space="preserve">Report ID:</w:t>
      </w:r>
      <w:r>
        <w:t xml:space="preserve"> </w:t>
      </w:r>
      <w:r>
        <w:t xml:space="preserve">PK-KHI-OPH-2023-089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proficiency, and ethical standards of a practicing</w:t>
      </w:r>
      <w:r>
        <w:t xml:space="preserve"> </w:t>
      </w:r>
      <w:r>
        <w:rPr>
          <w:bCs/>
          <w:b/>
        </w:rPr>
        <w:t xml:space="preserve">Ophthalmologist</w:t>
      </w:r>
      <w:r>
        <w:t xml:space="preserve"> </w:t>
      </w:r>
      <w:r>
        <w:t xml:space="preserve">within the metropolitan region of</w:t>
      </w:r>
      <w:r>
        <w:t xml:space="preserve"> </w:t>
      </w:r>
      <w:r>
        <w:rPr>
          <w:bCs/>
          <w:b/>
        </w:rPr>
        <w:t xml:space="preserve">Pakistan Karachi</w:t>
      </w:r>
      <w:r>
        <w:t xml:space="preserve">. The review process was conducted in accordance with the guidelines set forth by the Pakistan Medical and Dental Council (PMDC) and the College of Physicians and Surgeons Pakistan (CPSP). The objective is to ensure that the highest standards of eye care are maintained, particularly given the high volume of ocular trauma, diabetic retinopathy, and cataract cases prevalent in this densely populated urban center.</w:t>
      </w:r>
    </w:p>
    <w:p>
      <w:pPr>
        <w:pStyle w:val="BodyText"/>
      </w:pPr>
      <w:r>
        <w:t xml:space="preserve">The assessment covers a twelve-month period of clinical activity. The findings indicate a generally high level of competence, with specific areas identified for improvement regarding patient documentation and adherence to updated international protocols for glaucoma management.</w:t>
      </w:r>
    </w:p>
    <w:bookmarkEnd w:id="21"/>
    <w:bookmarkStart w:id="22" w:name="introduction-and-scope"/>
    <w:p>
      <w:pPr>
        <w:pStyle w:val="Heading2"/>
      </w:pPr>
      <w:r>
        <w:t xml:space="preserve">2. Introduction and Scope</w:t>
      </w:r>
    </w:p>
    <w:p>
      <w:pPr>
        <w:pStyle w:val="FirstParagraph"/>
      </w:pPr>
      <w:r>
        <w:t xml:space="preserve">Ophthalmology in</w:t>
      </w:r>
      <w:r>
        <w:t xml:space="preserve"> </w:t>
      </w:r>
      <w:r>
        <w:rPr>
          <w:bCs/>
          <w:b/>
        </w:rPr>
        <w:t xml:space="preserve">Pakistan Karachi</w:t>
      </w:r>
      <w:r>
        <w:t xml:space="preserve"> </w:t>
      </w:r>
      <w:r>
        <w:t xml:space="preserve">presents unique challenges due to the diverse socioeconomic background of the patient population and the environmental factors contributing to ocular health issues. As a leading medical hub in the country, Karachi hosts numerous tertiary care centers where the burden of disease is significant. This</w:t>
      </w:r>
      <w:r>
        <w:t xml:space="preserve"> </w:t>
      </w:r>
      <w:r>
        <w:rPr>
          <w:bCs/>
          <w:b/>
        </w:rPr>
        <w:t xml:space="preserve">Peer Review Report</w:t>
      </w:r>
      <w:r>
        <w:t xml:space="preserve"> </w:t>
      </w:r>
      <w:r>
        <w:t xml:space="preserve">aims to provide an objective analysis of the</w:t>
      </w:r>
      <w:r>
        <w:t xml:space="preserve"> </w:t>
      </w:r>
      <w:r>
        <w:rPr>
          <w:bCs/>
          <w:b/>
        </w:rPr>
        <w:t xml:space="preserve">Ophthalmologist</w:t>
      </w:r>
      <w:r>
        <w:t xml:space="preserve">'s ability to navigate these challenges while delivering evidence-based care.</w:t>
      </w:r>
    </w:p>
    <w:p>
      <w:pPr>
        <w:pStyle w:val="BodyText"/>
      </w:pPr>
      <w:r>
        <w:t xml:space="preserve">The scope of this review includes:</w:t>
      </w:r>
    </w:p>
    <w:p>
      <w:pPr>
        <w:numPr>
          <w:ilvl w:val="0"/>
          <w:numId w:val="1001"/>
        </w:numPr>
        <w:pStyle w:val="Compact"/>
      </w:pPr>
      <w:r>
        <w:t xml:space="preserve">Review of medical records and surgical logs.</w:t>
      </w:r>
    </w:p>
    <w:p>
      <w:pPr>
        <w:numPr>
          <w:ilvl w:val="0"/>
          <w:numId w:val="1001"/>
        </w:numPr>
        <w:pStyle w:val="Compact"/>
      </w:pPr>
      <w:r>
        <w:t xml:space="preserve">Assessment of diagnostic accuracy.</w:t>
      </w:r>
    </w:p>
    <w:p>
      <w:pPr>
        <w:numPr>
          <w:ilvl w:val="0"/>
          <w:numId w:val="1001"/>
        </w:numPr>
        <w:pStyle w:val="Compact"/>
      </w:pPr>
      <w:r>
        <w:t xml:space="preserve">Evaluation of surgical outcomes and complication rates.</w:t>
      </w:r>
    </w:p>
    <w:p>
      <w:pPr>
        <w:numPr>
          <w:ilvl w:val="0"/>
          <w:numId w:val="1001"/>
        </w:numPr>
        <w:pStyle w:val="Compact"/>
      </w:pPr>
      <w:r>
        <w:t xml:space="preserve">Analysis of patient communication and informed consent processes.</w:t>
      </w:r>
    </w:p>
    <w:p>
      <w:pPr>
        <w:numPr>
          <w:ilvl w:val="0"/>
          <w:numId w:val="1001"/>
        </w:numPr>
        <w:pStyle w:val="Compact"/>
      </w:pPr>
      <w:r>
        <w:t xml:space="preserve">Compliance with local and international medical ethics.</w:t>
      </w:r>
    </w:p>
    <w:bookmarkEnd w:id="22"/>
    <w:bookmarkStart w:id="23" w:name="X6f6d8d8ffcf3aa95c70f273d3a05cc874ff8c55"/>
    <w:p>
      <w:pPr>
        <w:pStyle w:val="Heading2"/>
      </w:pPr>
      <w:r>
        <w:t xml:space="preserve">3. Clinical Competency and Diagnostic Accuracy</w:t>
      </w:r>
    </w:p>
    <w:p>
      <w:pPr>
        <w:pStyle w:val="FirstParagraph"/>
      </w:pPr>
      <w:r>
        <w:t xml:space="preserve">The</w:t>
      </w:r>
      <w:r>
        <w:t xml:space="preserve"> </w:t>
      </w:r>
      <w:r>
        <w:rPr>
          <w:bCs/>
          <w:b/>
        </w:rPr>
        <w:t xml:space="preserve">Ophthalmologist</w:t>
      </w:r>
      <w:r>
        <w:t xml:space="preserve"> </w:t>
      </w:r>
      <w:r>
        <w:t xml:space="preserve">demonstrated a robust understanding of anterior and posterior segment diseases. In the context of</w:t>
      </w:r>
      <w:r>
        <w:t xml:space="preserve"> </w:t>
      </w:r>
      <w:r>
        <w:rPr>
          <w:bCs/>
          <w:b/>
        </w:rPr>
        <w:t xml:space="preserve">Pakistan Karachi</w:t>
      </w:r>
      <w:r>
        <w:t xml:space="preserve">, where diabetic retinopathy is a leading cause of blindness, the subject showed excellent proficiency in identifying proliferative changes and recommending timely laser photocoagulation or anti-VEGF injections.</w:t>
      </w:r>
    </w:p>
    <w:p>
      <w:pPr>
        <w:pStyle w:val="BodyText"/>
      </w:pPr>
      <w:r>
        <w:t xml:space="preserve">Diagnostic imaging interpretation, including OCT (Optical Coherence Tomography) and Fundus Fluorescein Angiography, was found to be accurate in 95% of the sampled cases. The ability to differentiate between hypertensive retinopathy and diabetic changes was particularly noted as a strength. However, the review panel noted that in cases of complex neuro-ophthalmology, the</w:t>
      </w:r>
      <w:r>
        <w:t xml:space="preserve"> </w:t>
      </w:r>
      <w:r>
        <w:rPr>
          <w:bCs/>
          <w:b/>
        </w:rPr>
        <w:t xml:space="preserve">Ophthalmologist</w:t>
      </w:r>
      <w:r>
        <w:t xml:space="preserve"> </w:t>
      </w:r>
      <w:r>
        <w:t xml:space="preserve">occasionally delayed referral to specialists, which could impact patient outcomes in time-sensitive conditions.</w:t>
      </w:r>
    </w:p>
    <w:bookmarkEnd w:id="23"/>
    <w:bookmarkStart w:id="24" w:name="surgical-proficiency-and-outcomes"/>
    <w:p>
      <w:pPr>
        <w:pStyle w:val="Heading2"/>
      </w:pPr>
      <w:r>
        <w:t xml:space="preserve">4. Surgical Proficiency and Outcomes</w:t>
      </w:r>
    </w:p>
    <w:p>
      <w:pPr>
        <w:pStyle w:val="FirstParagraph"/>
      </w:pPr>
      <w:r>
        <w:t xml:space="preserve">Surgical performance was a critical component of this</w:t>
      </w:r>
      <w:r>
        <w:t xml:space="preserve"> </w:t>
      </w:r>
      <w:r>
        <w:rPr>
          <w:bCs/>
          <w:b/>
        </w:rPr>
        <w:t xml:space="preserve">Peer Review Report</w:t>
      </w:r>
      <w:r>
        <w:t xml:space="preserve">. The</w:t>
      </w:r>
      <w:r>
        <w:t xml:space="preserve"> </w:t>
      </w:r>
      <w:r>
        <w:rPr>
          <w:bCs/>
          <w:b/>
        </w:rPr>
        <w:t xml:space="preserve">Ophthalmologist</w:t>
      </w:r>
      <w:r>
        <w:t xml:space="preserve"> </w:t>
      </w:r>
      <w:r>
        <w:t xml:space="preserve">performs a high volume of phacoemulsification surgeries, which is essential given the high prevalence of cataracts in the aging population of</w:t>
      </w:r>
      <w:r>
        <w:t xml:space="preserve"> </w:t>
      </w:r>
      <w:r>
        <w:rPr>
          <w:bCs/>
          <w:b/>
        </w:rPr>
        <w:t xml:space="preserve">Pakistan Karachi</w:t>
      </w:r>
      <w:r>
        <w:t xml:space="preserve">.</w:t>
      </w:r>
    </w:p>
    <w:p>
      <w:pPr>
        <w:pStyle w:val="BodyText"/>
      </w:pPr>
      <w:r>
        <w:t xml:space="preserve">The post-operative visual acuity outcomes were favorable, with 90% of patients achieving 6/12 vision or better. The rate of posterior capsule rupture was within the acceptable range of 1.5%. However, the review identified a need for stricter adherence to sterile protocols in the outpatient surgical suite to further reduce the risk of endophthalmitis. The panel recommends implementing a standardized checklist for all intraocular procedures to align with global safety standards.</w:t>
      </w:r>
    </w:p>
    <w:bookmarkEnd w:id="24"/>
    <w:bookmarkStart w:id="25" w:name="patient-care-and-communication"/>
    <w:p>
      <w:pPr>
        <w:pStyle w:val="Heading2"/>
      </w:pPr>
      <w:r>
        <w:t xml:space="preserve">5. Patient Care and Communication</w:t>
      </w:r>
    </w:p>
    <w:p>
      <w:pPr>
        <w:pStyle w:val="FirstParagraph"/>
      </w:pPr>
      <w:r>
        <w:t xml:space="preserve">Effective communication is vital in a multicultural environment like</w:t>
      </w:r>
      <w:r>
        <w:t xml:space="preserve"> </w:t>
      </w:r>
      <w:r>
        <w:rPr>
          <w:bCs/>
          <w:b/>
        </w:rPr>
        <w:t xml:space="preserve">Pakistan Karachi</w:t>
      </w:r>
      <w:r>
        <w:t xml:space="preserve">. The</w:t>
      </w:r>
      <w:r>
        <w:t xml:space="preserve"> </w:t>
      </w:r>
      <w:r>
        <w:rPr>
          <w:bCs/>
          <w:b/>
        </w:rPr>
        <w:t xml:space="preserve">Ophthalmologist</w:t>
      </w:r>
      <w:r>
        <w:t xml:space="preserve"> </w:t>
      </w:r>
      <w:r>
        <w:t xml:space="preserve">was observed to be empathetic and patient, taking the time to explain complex conditions in both English and Urdu. This bilingual capability is a significant asset in ensuring patient understanding and compliance with post-operative care instructions.</w:t>
      </w:r>
    </w:p>
    <w:p>
      <w:pPr>
        <w:pStyle w:val="BodyText"/>
      </w:pPr>
      <w:r>
        <w:t xml:space="preserve">The informed consent process was generally thorough. However, the</w:t>
      </w:r>
      <w:r>
        <w:t xml:space="preserve"> </w:t>
      </w:r>
      <w:r>
        <w:rPr>
          <w:bCs/>
          <w:b/>
        </w:rPr>
        <w:t xml:space="preserve">Peer Review Report</w:t>
      </w:r>
      <w:r>
        <w:t xml:space="preserve"> </w:t>
      </w:r>
      <w:r>
        <w:t xml:space="preserve">highlights that documentation of specific risks related to premium intraocular lenses (IOLs) could be more detailed. Patients in Karachi are increasingly opting for multifocal lenses, and ensuring they fully understand potential dysphotopsias is crucial for managing expectations and preventing medico-legal disputes.</w:t>
      </w:r>
    </w:p>
    <w:bookmarkEnd w:id="25"/>
    <w:bookmarkStart w:id="26" w:name="professionalism-and-ethics"/>
    <w:p>
      <w:pPr>
        <w:pStyle w:val="Heading2"/>
      </w:pPr>
      <w:r>
        <w:t xml:space="preserve">6. Professionalism and Ethics</w:t>
      </w:r>
    </w:p>
    <w:p>
      <w:pPr>
        <w:pStyle w:val="FirstParagraph"/>
      </w:pPr>
      <w:r>
        <w:t xml:space="preserve">The subject adhered to the ethical code of conduct mandated by the medical regulatory bodies in Pakistan. There were no reports of professional misconduct, negligence, or breach of patient confidentiality. The</w:t>
      </w:r>
      <w:r>
        <w:t xml:space="preserve"> </w:t>
      </w:r>
      <w:r>
        <w:rPr>
          <w:bCs/>
          <w:b/>
        </w:rPr>
        <w:t xml:space="preserve">Ophthalmologist</w:t>
      </w:r>
      <w:r>
        <w:t xml:space="preserve"> </w:t>
      </w:r>
      <w:r>
        <w:t xml:space="preserve">actively participates in continuing medical education (CME) programs, demonstrating a commitment to staying updated with the latest advancements in ophthalmic technology and treatment modalities.</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Ophthalmologist</w:t>
      </w:r>
      <w:r>
        <w:t xml:space="preserve"> </w:t>
      </w:r>
      <w:r>
        <w:t xml:space="preserve">practicing in</w:t>
      </w:r>
      <w:r>
        <w:t xml:space="preserve"> </w:t>
      </w:r>
      <w:r>
        <w:rPr>
          <w:bCs/>
          <w:b/>
        </w:rPr>
        <w:t xml:space="preserve">Pakistan Karachi</w:t>
      </w:r>
      <w:r>
        <w:t xml:space="preserve">:</w:t>
      </w:r>
    </w:p>
    <w:p>
      <w:pPr>
        <w:numPr>
          <w:ilvl w:val="0"/>
          <w:numId w:val="1002"/>
        </w:numPr>
        <w:pStyle w:val="Compact"/>
      </w:pPr>
      <w:r>
        <w:rPr>
          <w:bCs/>
          <w:b/>
        </w:rPr>
        <w:t xml:space="preserve">Enhanced Documentation:</w:t>
      </w:r>
      <w:r>
        <w:t xml:space="preserve"> </w:t>
      </w:r>
      <w:r>
        <w:t xml:space="preserve">Improve the granularity of surgical notes, specifically regarding intraoperative complications and the rationale for specific IOL choices.</w:t>
      </w:r>
    </w:p>
    <w:p>
      <w:pPr>
        <w:numPr>
          <w:ilvl w:val="0"/>
          <w:numId w:val="1002"/>
        </w:numPr>
        <w:pStyle w:val="Compact"/>
      </w:pPr>
      <w:r>
        <w:rPr>
          <w:bCs/>
          <w:b/>
        </w:rPr>
        <w:t xml:space="preserve">Glaucoma Management:</w:t>
      </w:r>
      <w:r>
        <w:t xml:space="preserve"> </w:t>
      </w:r>
      <w:r>
        <w:t xml:space="preserve">Undertake advanced training in minimally invasive glaucoma surgeries (MIGS) to better serve the growing glaucoma population in the region.</w:t>
      </w:r>
    </w:p>
    <w:p>
      <w:pPr>
        <w:numPr>
          <w:ilvl w:val="0"/>
          <w:numId w:val="1002"/>
        </w:numPr>
        <w:pStyle w:val="Compact"/>
      </w:pPr>
      <w:r>
        <w:rPr>
          <w:bCs/>
          <w:b/>
        </w:rPr>
        <w:t xml:space="preserve">Referral Pathways:</w:t>
      </w:r>
      <w:r>
        <w:t xml:space="preserve"> </w:t>
      </w:r>
      <w:r>
        <w:t xml:space="preserve">Establish clearer protocols for referring complex neuro-ophthalmic cases to ensure timely intervention.</w:t>
      </w:r>
    </w:p>
    <w:p>
      <w:pPr>
        <w:numPr>
          <w:ilvl w:val="0"/>
          <w:numId w:val="1002"/>
        </w:numPr>
        <w:pStyle w:val="Compact"/>
      </w:pPr>
      <w:r>
        <w:rPr>
          <w:bCs/>
          <w:b/>
        </w:rPr>
        <w:t xml:space="preserve">Infection Control:</w:t>
      </w:r>
      <w:r>
        <w:t xml:space="preserve"> </w:t>
      </w:r>
      <w:r>
        <w:t xml:space="preserve">Conduct a quarterly audit of sterile techniques in the surgical suite.</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Ophthalmologist</w:t>
      </w:r>
      <w:r>
        <w:t xml:space="preserve"> </w:t>
      </w:r>
      <w:r>
        <w:t xml:space="preserve">is a competent and dedicated professional providing high-quality eye care in</w:t>
      </w:r>
      <w:r>
        <w:t xml:space="preserve"> </w:t>
      </w:r>
      <w:r>
        <w:rPr>
          <w:bCs/>
          <w:b/>
        </w:rPr>
        <w:t xml:space="preserve">Pakistan Karachi</w:t>
      </w:r>
      <w:r>
        <w:t xml:space="preserve">. While there are minor areas for improvement regarding documentation and specific surgical protocols, the overall standard of care meets the requirements for continued practice. The panel recommends a follow-up review in 24 months to monitor progress on the suggested recommendations.</w:t>
      </w:r>
    </w:p>
    <w:p>
      <w:pPr>
        <w:pStyle w:val="BodyText"/>
      </w:pPr>
      <w:r>
        <w:rPr>
          <w:bCs/>
          <w:b/>
        </w:rPr>
        <w:t xml:space="preserve">Dr. Ahmed Khan</w:t>
      </w:r>
      <w:r>
        <w:br/>
      </w:r>
      <w:r>
        <w:t xml:space="preserve">Lead Reviewer</w:t>
      </w:r>
      <w:r>
        <w:br/>
      </w:r>
      <w:r>
        <w:t xml:space="preserve">Senior Consultant Ophthalmologist</w:t>
      </w:r>
    </w:p>
    <w:p>
      <w:pPr>
        <w:pStyle w:val="BodyText"/>
      </w:pPr>
      <w:r>
        <w:rPr>
          <w:bCs/>
          <w:b/>
        </w:rPr>
        <w:t xml:space="preserve">Dr. Sarah Malik</w:t>
      </w:r>
      <w:r>
        <w:br/>
      </w:r>
      <w:r>
        <w:t xml:space="preserve">Review Panel Member</w:t>
      </w:r>
      <w:r>
        <w:br/>
      </w:r>
      <w:r>
        <w:t xml:space="preserve">Medical Ethics Committee</w:t>
      </w:r>
    </w:p>
    <w:p>
      <w:pPr>
        <w:pStyle w:val="BodyText"/>
      </w:pPr>
      <w:r>
        <w:t xml:space="preserve">Confidential Document - For Internal Use Only. Generated for Peer Review purposes in accordance with Pakistan Medical and Dental Council regulations.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Pakistan Karachi</dc:title>
  <dc:creator/>
  <dc:language>en</dc:language>
  <cp:keywords/>
  <dcterms:created xsi:type="dcterms:W3CDTF">2026-10-10T07:09:08Z</dcterms:created>
  <dcterms:modified xsi:type="dcterms:W3CDTF">2026-10-10T07:09:08Z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