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Lima, Peru</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diagnostic accuracy, and surgical proficiency of a practicing Ophthalmologist within the metropolitan area of Lima, Peru. The review was conducted in accordance with the standards set forth by the Peruvian Ministry of Health (MINSA) and the College of Ophthalmologists of Peru. The primary objective of this assessment is to ensure that the medical professional maintains the highest standards of patient care, adheres to international ophthalmological guidelines, and operates within the ethical frameworks required for medical practice in Peru.</w:t>
      </w:r>
    </w:p>
    <w:p>
      <w:pPr>
        <w:pStyle w:val="BodyText"/>
      </w:pPr>
      <w:r>
        <w:t xml:space="preserve">The evaluation encompasses a comprehensive analysis of medical records, surgical outcomes, patient satisfaction surveys, and direct observation of clinical procedures. The findings presented herein aim to provide a transparent and objective overview of the Ophthalmologist's current standing and to identify areas for continued professional development.</w:t>
      </w:r>
    </w:p>
    <w:bookmarkEnd w:id="21"/>
    <w:bookmarkStart w:id="22" w:name="Xcc94846bc900dafce7465890f1ecd42fe0ff8d0"/>
    <w:p>
      <w:pPr>
        <w:pStyle w:val="Heading2"/>
      </w:pPr>
      <w:r>
        <w:t xml:space="preserve">2. Scope of Practice and Clinical Environment</w:t>
      </w:r>
    </w:p>
    <w:p>
      <w:pPr>
        <w:pStyle w:val="FirstParagraph"/>
      </w:pPr>
      <w:r>
        <w:t xml:space="preserve">The Ophthalmologist under review practices in a high-volume clinical setting in Lima, a city characterized by a diverse demographic and a high prevalence of ocular pathologies ranging from refractive errors to complex retinal diseases. The scope of practice includes general ophthalmology, cataract surgery, glaucoma management, and pediatric ophthalmology.</w:t>
      </w:r>
    </w:p>
    <w:p>
      <w:pPr>
        <w:pStyle w:val="BodyText"/>
      </w:pPr>
      <w:r>
        <w:t xml:space="preserve">Given the specific healthcare landscape in Lima, the review considered the Ophthalmologist's ability to manage resources efficiently while maintaining diagnostic precision. The facility was found to be equipped with modern diagnostic tools, including Optical Coherence Tomography (OCT) and advanced slit-lamp biomicroscopy, which are essential for contemporary ophthalmic care in Peru.</w:t>
      </w:r>
    </w:p>
    <w:bookmarkEnd w:id="22"/>
    <w:bookmarkStart w:id="25" w:name="evaluation-of-clinical-competency"/>
    <w:p>
      <w:pPr>
        <w:pStyle w:val="Heading2"/>
      </w:pPr>
      <w:r>
        <w:t xml:space="preserve">3. Evaluation of Clinical Competency</w:t>
      </w:r>
    </w:p>
    <w:bookmarkStart w:id="23" w:name="diagnostic-accuracy"/>
    <w:p>
      <w:pPr>
        <w:pStyle w:val="Heading3"/>
      </w:pPr>
      <w:r>
        <w:t xml:space="preserve">3.1 Diagnostic Accuracy</w:t>
      </w:r>
    </w:p>
    <w:p>
      <w:pPr>
        <w:pStyle w:val="FirstParagraph"/>
      </w:pPr>
      <w:r>
        <w:t xml:space="preserve">A random sample of 150 patient files was audited to assess diagnostic accuracy. The review focused on cases involving diabetic retinopathy, age-related macular degeneration, and glaucoma. The Ophthalmologist demonstrated a high level of proficiency in interpreting diagnostic imaging and clinical signs. The correlation between initial diagnoses and final outcomes was found to be 96%, indicating excellent clinical judgment.</w:t>
      </w:r>
    </w:p>
    <w:p>
      <w:pPr>
        <w:pStyle w:val="BodyText"/>
      </w:pPr>
      <w:r>
        <w:t xml:space="preserve">Furthermore, the documentation of patient history and ocular examinations was thorough and compliant with Peruvian medical record-keeping regulations. The clarity of the clinical notes ensures continuity of care, which is vital in a busy urban environment like Lima.</w:t>
      </w:r>
    </w:p>
    <w:bookmarkEnd w:id="23"/>
    <w:bookmarkStart w:id="24" w:name="surgical-proficiency"/>
    <w:p>
      <w:pPr>
        <w:pStyle w:val="Heading3"/>
      </w:pPr>
      <w:r>
        <w:t xml:space="preserve">3.2 Surgical Proficiency</w:t>
      </w:r>
    </w:p>
    <w:p>
      <w:pPr>
        <w:pStyle w:val="FirstParagraph"/>
      </w:pPr>
      <w:r>
        <w:t xml:space="preserve">The surgical component of the review analyzed 50 phacoemulsification procedures and 20 glaucoma surgeries performed over the last twelve months. The complication rate was significantly lower than the national average for Peru. The Ophthalmologist exhibited technical mastery, particularly in handling complex cataracts and managing intraoperative challenges.</w:t>
      </w:r>
    </w:p>
    <w:p>
      <w:pPr>
        <w:pStyle w:val="BodyText"/>
      </w:pPr>
      <w:r>
        <w:t xml:space="preserve">Post-operative care protocols were strictly followed, with appropriate follow-up schedules established for all surgical patients. The review noted a proactive approach to managing post-surgical inflammation and infection prevention, which is critical in the tropical climate of Lima.</w:t>
      </w:r>
    </w:p>
    <w:bookmarkEnd w:id="24"/>
    <w:bookmarkEnd w:id="25"/>
    <w:bookmarkStart w:id="26" w:name="patient-care-and-communication"/>
    <w:p>
      <w:pPr>
        <w:pStyle w:val="Heading2"/>
      </w:pPr>
      <w:r>
        <w:t xml:space="preserve">4. Patient Care and Communication</w:t>
      </w:r>
    </w:p>
    <w:p>
      <w:pPr>
        <w:pStyle w:val="FirstParagraph"/>
      </w:pPr>
      <w:r>
        <w:t xml:space="preserve">Effective communication is a cornerstone of successful ophthalmic practice. This Peer Review Report assessed the Ophthalmologist's interaction with patients through direct observation and patient feedback forms. The Ophthalmologist was observed explaining complex conditions, such as retinal detachment and cataract progression, in clear, accessible language suitable for patients of varying educational backgrounds.</w:t>
      </w:r>
    </w:p>
    <w:p>
      <w:pPr>
        <w:pStyle w:val="BodyText"/>
      </w:pPr>
      <w:r>
        <w:t xml:space="preserve">Patient satisfaction scores were exceptionally high, with 94% of respondents expressing confidence in the Ophthalmologist's expertise. Patients specifically highlighted the professional's empathy and willingness to address concerns regarding vision loss, a common anxiety among the aging population in Lima.</w:t>
      </w:r>
    </w:p>
    <w:bookmarkEnd w:id="26"/>
    <w:bookmarkStart w:id="27" w:name="X90ff44a3b2fe96e4404222c6bc67d7e2b61100f"/>
    <w:p>
      <w:pPr>
        <w:pStyle w:val="Heading2"/>
      </w:pPr>
      <w:r>
        <w:t xml:space="preserve">5. Adherence to Ethical Standards and Regulations</w:t>
      </w:r>
    </w:p>
    <w:p>
      <w:pPr>
        <w:pStyle w:val="FirstParagraph"/>
      </w:pPr>
      <w:r>
        <w:t xml:space="preserve">The review confirmed that the Ophthalmologist adheres strictly to the Code of Medical Ethics of Peru. There were no instances of over-treatment, unnecessary referrals, or conflicts of interest identified. The professional maintains up-to-date licensure with the Peruvian Ministry of Health and actively participates in continuing medical education (CME) programs.</w:t>
      </w:r>
    </w:p>
    <w:p>
      <w:pPr>
        <w:pStyle w:val="BodyText"/>
      </w:pPr>
      <w:r>
        <w:t xml:space="preserve">Additionally, the Ophthalmologist contributes to the local medical community in Lima by participating in case conferences and mentoring junior residents, thereby fostering a culture of excellence and knowledge sharing within the Peruvian ophthalmological community.</w:t>
      </w:r>
    </w:p>
    <w:bookmarkEnd w:id="27"/>
    <w:bookmarkStart w:id="28" w:name="recommendations-and-conclusion"/>
    <w:p>
      <w:pPr>
        <w:pStyle w:val="Heading2"/>
      </w:pPr>
      <w:r>
        <w:t xml:space="preserve">6. Recommendations and Conclusion</w:t>
      </w:r>
    </w:p>
    <w:p>
      <w:pPr>
        <w:pStyle w:val="FirstParagraph"/>
      </w:pPr>
      <w:r>
        <w:t xml:space="preserve">Based on the comprehensive evaluation conducted, this Peer Review Report concludes that the Ophthalmologist demonstrates exceptional clinical competence, surgical skill, and professional integrity. The quality of care provided meets and, in several areas, exceeds the standards expected for ophthalmic practice in Lima, Peru.</w:t>
      </w:r>
    </w:p>
    <w:p>
      <w:pPr>
        <w:pStyle w:val="BodyText"/>
      </w:pPr>
      <w:r>
        <w:rPr>
          <w:bCs/>
          <w:b/>
        </w:rPr>
        <w:t xml:space="preserve">Recommendations:</w:t>
      </w:r>
    </w:p>
    <w:p>
      <w:pPr>
        <w:numPr>
          <w:ilvl w:val="0"/>
          <w:numId w:val="1001"/>
        </w:numPr>
        <w:pStyle w:val="Compact"/>
      </w:pPr>
      <w:r>
        <w:t xml:space="preserve">Continue participation in international ophthalmology conferences to stay abreast of emerging technologies.</w:t>
      </w:r>
    </w:p>
    <w:p>
      <w:pPr>
        <w:numPr>
          <w:ilvl w:val="0"/>
          <w:numId w:val="1001"/>
        </w:numPr>
        <w:pStyle w:val="Compact"/>
      </w:pPr>
      <w:r>
        <w:t xml:space="preserve">Consider expanding telemedicine services to reach patients in peripheral districts of Lima and surrounding regions.</w:t>
      </w:r>
    </w:p>
    <w:p>
      <w:pPr>
        <w:numPr>
          <w:ilvl w:val="0"/>
          <w:numId w:val="1001"/>
        </w:numPr>
        <w:pStyle w:val="Compact"/>
      </w:pPr>
      <w:r>
        <w:t xml:space="preserve">Maintain current protocols for diabetic eye screening, given the rising prevalence of diabetes in Peru.</w:t>
      </w:r>
    </w:p>
    <w:p>
      <w:pPr>
        <w:pStyle w:val="FirstParagraph"/>
      </w:pPr>
      <w:r>
        <w:t xml:space="preserve">The reviewing committee recommends the renewal of the Ophthalmologist's clinical privileges without restriction. This report serves as a testament to the high standard of medical care provided by this professional to the citizens of Lima.</w:t>
      </w:r>
    </w:p>
    <w:bookmarkEnd w:id="28"/>
    <w:p>
      <w:pPr>
        <w:pStyle w:val="BodyText"/>
      </w:pPr>
      <w:r>
        <w:rPr>
          <w:bCs/>
          <w:b/>
        </w:rPr>
        <w:t xml:space="preserve">Prepared by:</w:t>
      </w:r>
    </w:p>
    <w:p>
      <w:pPr>
        <w:pStyle w:val="BodyText"/>
      </w:pPr>
      <w:r>
        <w:t xml:space="preserve">Dr. Alejandro Vargas, MD, PhD</w:t>
      </w:r>
    </w:p>
    <w:p>
      <w:pPr>
        <w:pStyle w:val="BodyText"/>
      </w:pPr>
      <w:r>
        <w:t xml:space="preserve">Senior Reviewer, Ophthalmology Division</w:t>
      </w:r>
    </w:p>
    <w:p>
      <w:pPr>
        <w:pStyle w:val="BodyText"/>
      </w:pPr>
      <w:r>
        <w:t xml:space="preserve">Independent Medical Quality Assurance Committee</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Lima, Peru</dc:title>
  <dc:creator/>
  <dc:language>en</dc:language>
  <cp:keywords/>
  <dcterms:created xsi:type="dcterms:W3CDTF">2026-10-10T01:57:58Z</dcterms:created>
  <dcterms:modified xsi:type="dcterms:W3CDTF">2026-10-10T01:57:58Z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