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Russia</w:t>
      </w:r>
      <w:r>
        <w:t xml:space="preserve"> </w:t>
      </w:r>
      <w:r>
        <w:t xml:space="preserve">Saint</w:t>
      </w:r>
      <w:r>
        <w:t xml:space="preserve"> </w:t>
      </w:r>
      <w:r>
        <w:t xml:space="preserve">Petersburg</w:t>
      </w:r>
    </w:p>
    <w:bookmarkStart w:id="27" w:name="peer-review-report"/>
    <w:p>
      <w:pPr>
        <w:pStyle w:val="Heading1"/>
      </w:pPr>
      <w:r>
        <w:t xml:space="preserve">Peer Review Report</w:t>
      </w:r>
    </w:p>
    <w:p>
      <w:pPr>
        <w:pStyle w:val="FirstParagraph"/>
      </w:pPr>
      <w:r>
        <w:t xml:space="preserve">Report ID:</w:t>
      </w:r>
      <w:r>
        <w:t xml:space="preserve"> </w:t>
      </w:r>
      <w:r>
        <w:t xml:space="preserve">PR-SPB-OPH-2023-089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Russia Saint Petersburg</w:t>
      </w:r>
    </w:p>
    <w:p>
      <w:pPr>
        <w:pStyle w:val="BodyText"/>
      </w:pPr>
      <w:r>
        <w:t xml:space="preserve">Subject Specialty:</w:t>
      </w:r>
      <w:r>
        <w:t xml:space="preserve"> </w:t>
      </w:r>
      <w:r>
        <w:t xml:space="preserve">Ophthalmology</w:t>
      </w:r>
    </w:p>
    <w:p>
      <w:pPr>
        <w:pStyle w:val="BodyText"/>
      </w:pPr>
      <w:r>
        <w:t xml:space="preserve">Review Type:</w:t>
      </w:r>
      <w:r>
        <w:t xml:space="preserve"> </w:t>
      </w:r>
      <w:r>
        <w:t xml:space="preserve">Clinical Competency &amp; Practice Standards</w:t>
      </w:r>
    </w:p>
    <w:p>
      <w:pPr>
        <w:pStyle w:val="BodyText"/>
      </w:pPr>
      <w:r>
        <w:t xml:space="preserve">Confidentiality:</w:t>
      </w:r>
      <w:r>
        <w:t xml:space="preserve"> </w:t>
      </w:r>
      <w:r>
        <w:t xml:space="preserve">Strictly Confidential</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diagnostic accuracy, and surgical proficiency of a practicing</w:t>
      </w:r>
      <w:r>
        <w:t xml:space="preserve"> </w:t>
      </w:r>
      <w:r>
        <w:rPr>
          <w:bCs/>
          <w:b/>
        </w:rPr>
        <w:t xml:space="preserve">Ophthalmologist</w:t>
      </w:r>
      <w:r>
        <w:t xml:space="preserve"> </w:t>
      </w:r>
      <w:r>
        <w:t xml:space="preserve">within the healthcare infrastructure of</w:t>
      </w:r>
      <w:r>
        <w:t xml:space="preserve"> </w:t>
      </w:r>
      <w:r>
        <w:rPr>
          <w:bCs/>
          <w:b/>
        </w:rPr>
        <w:t xml:space="preserve">Russia Saint Petersburg</w:t>
      </w:r>
      <w:r>
        <w:t xml:space="preserve">. The review was conducted in accordance with the Federal Law of the Russian Federation on the Fundamentals of Protection of the Health of Citizens and the specific clinical guidelines established by the Ministry of Health of the Russian Federation. The objective of this assessment is to ensure that the ophthalmic care provided meets the rigorous international standards expected in a major medical hub like Saint Petersburg, while adhering to local regulatory requirements.</w:t>
      </w:r>
    </w:p>
    <w:p>
      <w:pPr>
        <w:pStyle w:val="BodyText"/>
      </w:pPr>
      <w:r>
        <w:t xml:space="preserve">The evaluation encompasses a comprehensive analysis of patient records, surgical outcomes, adherence to sterile protocols, and the utilization of advanced diagnostic technologies. The findings presented herein are based on a random sampling of 150 patient files, direct observation of three surgical procedures, and interviews with nursing staff and patients.</w:t>
      </w:r>
    </w:p>
    <w:bookmarkEnd w:id="20"/>
    <w:bookmarkStart w:id="21" w:name="X5a463533dc425dcc0ad20aeca4589a3ccb895cc"/>
    <w:p>
      <w:pPr>
        <w:pStyle w:val="Heading2"/>
      </w:pPr>
      <w:r>
        <w:t xml:space="preserve">2. Scope of Practice and Clinical Competency</w:t>
      </w:r>
    </w:p>
    <w:p>
      <w:pPr>
        <w:pStyle w:val="FirstParagraph"/>
      </w:pPr>
      <w:r>
        <w:t xml:space="preserve">The</w:t>
      </w:r>
      <w:r>
        <w:t xml:space="preserve"> </w:t>
      </w:r>
      <w:r>
        <w:rPr>
          <w:bCs/>
          <w:b/>
        </w:rPr>
        <w:t xml:space="preserve">Ophthalmologist</w:t>
      </w:r>
      <w:r>
        <w:t xml:space="preserve"> </w:t>
      </w:r>
      <w:r>
        <w:t xml:space="preserve">under review demonstrates a robust command of both medical and surgical ophthalmology. In the context of</w:t>
      </w:r>
      <w:r>
        <w:t xml:space="preserve"> </w:t>
      </w:r>
      <w:r>
        <w:rPr>
          <w:bCs/>
          <w:b/>
        </w:rPr>
        <w:t xml:space="preserve">Russia Saint Petersburg</w:t>
      </w:r>
      <w:r>
        <w:t xml:space="preserve">, where the patient demographic includes a significant geriatric population, the management of age-related macular degeneration (AMD) and glaucoma is of paramount importance. The review indicates that the physician employs evidence-based treatment protocols for these conditions, aligning with the latest recommendations from the Russian Association of Ophthalmologists.</w:t>
      </w:r>
    </w:p>
    <w:p>
      <w:pPr>
        <w:pStyle w:val="BodyText"/>
      </w:pPr>
      <w:r>
        <w:t xml:space="preserve">Diagnostic accuracy was assessed by comparing initial diagnoses with final pathological or clinical outcomes. The results show a concordance rate of 96%, which exceeds the national average. The physician effectively utilizes advanced imaging modalities, including Optical Coherence Tomography (OCT) and fundus fluorescein angiography, which are standard in leading clinics in Saint Petersburg.</w:t>
      </w:r>
    </w:p>
    <w:bookmarkEnd w:id="21"/>
    <w:bookmarkStart w:id="22" w:name="surgical-performance-and-safety"/>
    <w:p>
      <w:pPr>
        <w:pStyle w:val="Heading2"/>
      </w:pPr>
      <w:r>
        <w:t xml:space="preserve">3. Surgical Performance and Safety</w:t>
      </w:r>
    </w:p>
    <w:p>
      <w:pPr>
        <w:pStyle w:val="FirstParagraph"/>
      </w:pPr>
      <w:r>
        <w:t xml:space="preserve">A critical component of this</w:t>
      </w:r>
      <w:r>
        <w:t xml:space="preserve"> </w:t>
      </w:r>
      <w:r>
        <w:rPr>
          <w:bCs/>
          <w:b/>
        </w:rPr>
        <w:t xml:space="preserve">Peer Review Report</w:t>
      </w:r>
      <w:r>
        <w:t xml:space="preserve"> </w:t>
      </w:r>
      <w:r>
        <w:t xml:space="preserve">is the evaluation of surgical interventions. The</w:t>
      </w:r>
      <w:r>
        <w:t xml:space="preserve"> </w:t>
      </w:r>
      <w:r>
        <w:rPr>
          <w:bCs/>
          <w:b/>
        </w:rPr>
        <w:t xml:space="preserve">Ophthalmologist</w:t>
      </w:r>
      <w:r>
        <w:t xml:space="preserve"> </w:t>
      </w:r>
      <w:r>
        <w:t xml:space="preserve">performs a high volume of cataract surgeries, refractive surgeries, and anterior segment procedures. During the observed surgeries, the following strengths were noted:</w:t>
      </w:r>
    </w:p>
    <w:p>
      <w:pPr>
        <w:numPr>
          <w:ilvl w:val="0"/>
          <w:numId w:val="1001"/>
        </w:numPr>
        <w:pStyle w:val="Compact"/>
      </w:pPr>
      <w:r>
        <w:rPr>
          <w:bCs/>
          <w:b/>
        </w:rPr>
        <w:t xml:space="preserve">Technical Precision:</w:t>
      </w:r>
      <w:r>
        <w:t xml:space="preserve"> </w:t>
      </w:r>
      <w:r>
        <w:t xml:space="preserve">The surgeon exhibits excellent manual dexterity and steady hand-eye coordination, resulting in minimal intraoperative complications.</w:t>
      </w:r>
    </w:p>
    <w:p>
      <w:pPr>
        <w:numPr>
          <w:ilvl w:val="0"/>
          <w:numId w:val="1001"/>
        </w:numPr>
        <w:pStyle w:val="Compact"/>
      </w:pPr>
      <w:r>
        <w:rPr>
          <w:bCs/>
          <w:b/>
        </w:rPr>
        <w:t xml:space="preserve">Adherence to Protocols:</w:t>
      </w:r>
      <w:r>
        <w:t xml:space="preserve"> </w:t>
      </w:r>
      <w:r>
        <w:t xml:space="preserve">Strict compliance with aseptic techniques and sterile field maintenance was observed, reducing the risk of postoperative endophthalmitis.</w:t>
      </w:r>
    </w:p>
    <w:p>
      <w:pPr>
        <w:numPr>
          <w:ilvl w:val="0"/>
          <w:numId w:val="1001"/>
        </w:numPr>
        <w:pStyle w:val="Compact"/>
      </w:pPr>
      <w:r>
        <w:rPr>
          <w:bCs/>
          <w:b/>
        </w:rPr>
        <w:t xml:space="preserve">Efficiency:</w:t>
      </w:r>
      <w:r>
        <w:t xml:space="preserve"> </w:t>
      </w:r>
      <w:r>
        <w:t xml:space="preserve">Surgical times are optimized without compromising safety, allowing for efficient use of operating theater resources in the busy Saint Petersburg healthcare environment.</w:t>
      </w:r>
    </w:p>
    <w:p>
      <w:pPr>
        <w:pStyle w:val="FirstParagraph"/>
      </w:pPr>
      <w:r>
        <w:t xml:space="preserve">Postoperative complication rates were analyzed over the past 24 months. The rate of significant complications (such as retinal detachment or severe infection) was found to be 0.8%, which is well within the acceptable range for complex ophthalmic surgeries in the region.</w:t>
      </w:r>
    </w:p>
    <w:bookmarkEnd w:id="22"/>
    <w:bookmarkStart w:id="23" w:name="patient-care-and-communication"/>
    <w:p>
      <w:pPr>
        <w:pStyle w:val="Heading2"/>
      </w:pPr>
      <w:r>
        <w:t xml:space="preserve">4. Patient Care and Communication</w:t>
      </w:r>
    </w:p>
    <w:p>
      <w:pPr>
        <w:pStyle w:val="FirstParagraph"/>
      </w:pPr>
      <w:r>
        <w:t xml:space="preserve">Effective communication is essential in ophthalmology, particularly when explaining complex visual impairments to patients. The</w:t>
      </w:r>
      <w:r>
        <w:t xml:space="preserve"> </w:t>
      </w:r>
      <w:r>
        <w:rPr>
          <w:bCs/>
          <w:b/>
        </w:rPr>
        <w:t xml:space="preserve">Ophthalmologist</w:t>
      </w:r>
      <w:r>
        <w:t xml:space="preserve"> </w:t>
      </w:r>
      <w:r>
        <w:t xml:space="preserve">demonstrates a high level of empathy and clarity when discussing diagnoses and treatment options. Patient feedback collected during the review period highlights satisfaction with the physician's ability to explain procedures in both Russian and English, a valuable skill in the international medical tourism sector of</w:t>
      </w:r>
      <w:r>
        <w:t xml:space="preserve"> </w:t>
      </w:r>
      <w:r>
        <w:rPr>
          <w:bCs/>
          <w:b/>
        </w:rPr>
        <w:t xml:space="preserve">Russia Saint Petersburg</w:t>
      </w:r>
      <w:r>
        <w:t xml:space="preserve">.</w:t>
      </w:r>
    </w:p>
    <w:p>
      <w:pPr>
        <w:pStyle w:val="BodyText"/>
      </w:pPr>
      <w:r>
        <w:t xml:space="preserve">Informed consent processes are documented thoroughly. The physician ensures that patients understand the risks, benefits, and alternatives of proposed treatments, adhering to the ethical standards mandated by the Russian Medical Chamber.</w:t>
      </w:r>
    </w:p>
    <w:bookmarkEnd w:id="23"/>
    <w:bookmarkStart w:id="24" w:name="X080613779a30183be8e8f68ffdb425ea00ff2c2"/>
    <w:p>
      <w:pPr>
        <w:pStyle w:val="Heading2"/>
      </w:pPr>
      <w:r>
        <w:t xml:space="preserve">5. Adherence to Local and International Standards</w:t>
      </w:r>
    </w:p>
    <w:p>
      <w:pPr>
        <w:pStyle w:val="FirstParagraph"/>
      </w:pPr>
      <w:r>
        <w:t xml:space="preserve">The practice under review is fully compliant with the regulatory framework of</w:t>
      </w:r>
      <w:r>
        <w:t xml:space="preserve"> </w:t>
      </w:r>
      <w:r>
        <w:rPr>
          <w:bCs/>
          <w:b/>
        </w:rPr>
        <w:t xml:space="preserve">Russia Saint Petersburg</w:t>
      </w:r>
      <w:r>
        <w:t xml:space="preserve">. This includes proper licensing, registration of medical devices, and adherence to infection control standards set by the Federal Service for Surveillance in Healthcare (Rospotrebnadzor). Furthermore, the</w:t>
      </w:r>
      <w:r>
        <w:t xml:space="preserve"> </w:t>
      </w:r>
      <w:r>
        <w:rPr>
          <w:bCs/>
          <w:b/>
        </w:rPr>
        <w:t xml:space="preserve">Ophthalmologist</w:t>
      </w:r>
      <w:r>
        <w:t xml:space="preserve"> </w:t>
      </w:r>
      <w:r>
        <w:t xml:space="preserve">actively participates in continuing medical education (CME) programs, attending conferences and workshops to stay updated with the latest advancements in ophthalmic science.</w:t>
      </w:r>
    </w:p>
    <w:bookmarkEnd w:id="24"/>
    <w:bookmarkStart w:id="25"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quality of care:</w:t>
      </w:r>
    </w:p>
    <w:p>
      <w:pPr>
        <w:numPr>
          <w:ilvl w:val="0"/>
          <w:numId w:val="1002"/>
        </w:numPr>
        <w:pStyle w:val="Compact"/>
      </w:pPr>
      <w:r>
        <w:rPr>
          <w:bCs/>
          <w:b/>
        </w:rPr>
        <w:t xml:space="preserve">Documentation Enhancement:</w:t>
      </w:r>
      <w:r>
        <w:t xml:space="preserve"> </w:t>
      </w:r>
      <w:r>
        <w:t xml:space="preserve">While clinical notes are generally thorough, there is room for improvement in the standardization of postoperative follow-up documentation to ensure consistency across all patient records.</w:t>
      </w:r>
    </w:p>
    <w:p>
      <w:pPr>
        <w:numPr>
          <w:ilvl w:val="0"/>
          <w:numId w:val="1002"/>
        </w:numPr>
        <w:pStyle w:val="Compact"/>
      </w:pPr>
      <w:r>
        <w:rPr>
          <w:bCs/>
          <w:b/>
        </w:rPr>
        <w:t xml:space="preserve">Telemedicine Integration:</w:t>
      </w:r>
      <w:r>
        <w:t xml:space="preserve"> </w:t>
      </w:r>
      <w:r>
        <w:t xml:space="preserve">Given the geographic spread of patients in the Saint Petersburg region, the</w:t>
      </w:r>
      <w:r>
        <w:t xml:space="preserve"> </w:t>
      </w:r>
      <w:r>
        <w:rPr>
          <w:bCs/>
          <w:b/>
        </w:rPr>
        <w:t xml:space="preserve">Ophthalmologist</w:t>
      </w:r>
      <w:r>
        <w:t xml:space="preserve"> </w:t>
      </w:r>
      <w:r>
        <w:t xml:space="preserve">is encouraged to expand telemedicine services for routine follow-ups, thereby improving patient accessibility.</w:t>
      </w:r>
    </w:p>
    <w:p>
      <w:pPr>
        <w:numPr>
          <w:ilvl w:val="0"/>
          <w:numId w:val="1002"/>
        </w:numPr>
        <w:pStyle w:val="Compact"/>
      </w:pPr>
      <w:r>
        <w:rPr>
          <w:bCs/>
          <w:b/>
        </w:rPr>
        <w:t xml:space="preserve">Multidisciplinary Collaboration:</w:t>
      </w:r>
      <w:r>
        <w:t xml:space="preserve"> </w:t>
      </w:r>
      <w:r>
        <w:t xml:space="preserve">Strengthening collaboration with neurologists and endocrinologists is recommended for the management of complex cases involving diabetic retinopathy and neuro-ophthalmic conditions.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Ophthalmologist</w:t>
      </w:r>
      <w:r>
        <w:t xml:space="preserve"> </w:t>
      </w:r>
      <w:r>
        <w:t xml:space="preserve">under review maintains a high standard of clinical excellence, surgical proficiency, and patient care. The physician's practice in</w:t>
      </w:r>
      <w:r>
        <w:t xml:space="preserve"> </w:t>
      </w:r>
      <w:r>
        <w:rPr>
          <w:bCs/>
          <w:b/>
        </w:rPr>
        <w:t xml:space="preserve">Russia Saint Petersburg</w:t>
      </w:r>
      <w:r>
        <w:t xml:space="preserve"> </w:t>
      </w:r>
      <w:r>
        <w:t xml:space="preserve">is characterized by a commitment to evidence-based medicine, safety, and continuous professional development. The minor areas for improvement identified are operational in nature and do not detract from the overall quality of ophthalmic care provided. The physician is deemed fully competent to continue their current scope of practice.</w:t>
      </w:r>
    </w:p>
    <w:p>
      <w:pPr>
        <w:pStyle w:val="BodyText"/>
      </w:pPr>
      <w:r>
        <w:rPr>
          <w:bCs/>
          <w:b/>
        </w:rPr>
        <w:t xml:space="preserve">Lead Reviewer:</w:t>
      </w:r>
    </w:p>
    <w:p>
      <w:pPr>
        <w:pStyle w:val="BodyText"/>
      </w:pPr>
      <w:r>
        <w:t xml:space="preserve">Dr. Alexander Volkov, MD, PhD</w:t>
      </w:r>
    </w:p>
    <w:p>
      <w:pPr>
        <w:pStyle w:val="BodyText"/>
      </w:pPr>
      <w:r>
        <w:t xml:space="preserve">Senior Ophthalmologist</w:t>
      </w:r>
    </w:p>
    <w:p>
      <w:pPr>
        <w:pStyle w:val="BodyText"/>
      </w:pPr>
      <w:r>
        <w:t xml:space="preserve">Peer Review Committee</w:t>
      </w:r>
    </w:p>
    <w:p>
      <w:pPr>
        <w:pStyle w:val="BodyText"/>
      </w:pPr>
      <w:r>
        <w:rPr>
          <w:bCs/>
          <w:b/>
        </w:rPr>
        <w:t xml:space="preserve">Co-Reviewer:</w:t>
      </w:r>
    </w:p>
    <w:p>
      <w:pPr>
        <w:pStyle w:val="BodyText"/>
      </w:pPr>
      <w:r>
        <w:t xml:space="preserve">Dr. Elena Petrova, MD</w:t>
      </w:r>
    </w:p>
    <w:p>
      <w:pPr>
        <w:pStyle w:val="BodyText"/>
      </w:pPr>
      <w:r>
        <w:t xml:space="preserve">Clinical Auditor</w:t>
      </w:r>
    </w:p>
    <w:p>
      <w:pPr>
        <w:pStyle w:val="BodyText"/>
      </w:pPr>
      <w:r>
        <w:t xml:space="preserve">Healthcare Quality Assurance</w:t>
      </w:r>
    </w:p>
    <w:p>
      <w:pPr>
        <w:pStyle w:val="BodyText"/>
      </w:pPr>
      <w:r>
        <w:t xml:space="preserve">This document is the property of the Peer Review Committee. Unauthorized distribution is prohibited. Generated for use in Russia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Russia Saint Petersburg</dc:title>
  <dc:creator/>
  <dc:language>en</dc:language>
  <cp:keywords/>
  <dcterms:created xsi:type="dcterms:W3CDTF">2026-10-10T05:55:16Z</dcterms:created>
  <dcterms:modified xsi:type="dcterms:W3CDTF">2026-10-10T05:55:16Z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