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Evaluation of Ophthalmologist</w:t>
      </w:r>
    </w:p>
    <w:p>
      <w:pPr>
        <w:pStyle w:val="BodyText"/>
      </w:pPr>
      <w:r>
        <w:rPr>
          <w:bCs/>
          <w:b/>
        </w:rPr>
        <w:t xml:space="preserve">Location:</w:t>
      </w:r>
      <w:r>
        <w:t xml:space="preserve"> </w:t>
      </w:r>
      <w:r>
        <w:t xml:space="preserve">Riyadh, Saudi Arabia</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Medical Peer Review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competence, professional conduct, and adherence to medical standards of a practicing Ophthalmologist within the Kingdom of Saudi Arabia, specifically in the Riyadh region. The review was conducted in accordance with the regulations set forth by the Saudi Commission for Health Specialties (SCFHS) and the Ministry of Health (MOH). The primary objective of this assessment is to ensure that the ophthalmic care provided aligns with international best practices and local regulatory requirements, thereby safeguarding patient safety and enhancing the quality of healthcare delivery in Riyadh.</w:t>
      </w:r>
    </w:p>
    <w:bookmarkEnd w:id="21"/>
    <w:bookmarkStart w:id="22" w:name="introduction-and-scope"/>
    <w:p>
      <w:pPr>
        <w:pStyle w:val="Heading2"/>
      </w:pPr>
      <w:r>
        <w:t xml:space="preserve">2. Introduction and Scope</w:t>
      </w:r>
    </w:p>
    <w:p>
      <w:pPr>
        <w:pStyle w:val="FirstParagraph"/>
      </w:pPr>
      <w:r>
        <w:t xml:space="preserve">Ophthalmology is a highly specialized field requiring precision, advanced technical skills, and continuous professional development. In Riyadh, a hub for medical tourism and advanced healthcare in the Middle East, the standards expected of an Ophthalmologist are exceptionally high. This review focuses on a specific period of practice, analyzing case files, surgical outcomes, patient feedback, and compliance with clinical protocols.</w:t>
      </w:r>
    </w:p>
    <w:p>
      <w:pPr>
        <w:pStyle w:val="BodyText"/>
      </w:pPr>
      <w:r>
        <w:t xml:space="preserve">The scope of this Peer Review Report encompasses the evaluation of diagnostic accuracy, surgical proficiency (including refractive surgery, cataract extraction, and retinal procedures), management of chronic ocular conditions such as glaucoma and diabetic retinopathy, and adherence to infection control standards. Furthermore, the review assesses the physician's integration into the multidisciplinary healthcare teams prevalent in Riyadh's major hospitals and clinics.</w:t>
      </w:r>
    </w:p>
    <w:bookmarkEnd w:id="22"/>
    <w:bookmarkStart w:id="23" w:name="methodology"/>
    <w:p>
      <w:pPr>
        <w:pStyle w:val="Heading2"/>
      </w:pPr>
      <w:r>
        <w:t xml:space="preserve">3. Methodology</w:t>
      </w:r>
    </w:p>
    <w:p>
      <w:pPr>
        <w:pStyle w:val="FirstParagraph"/>
      </w:pPr>
      <w:r>
        <w:t xml:space="preserve">The evaluation process utilized a comprehensive approach involving multiple data sources. First, a retrospective chart review was conducted on a random sample of 100 patient cases treated by the Ophthalmologist over the past twelve months. These cases were selected to represent a diverse range of ophthalmic conditions common in the Saudi population, including high rates of diabetic eye disease.</w:t>
      </w:r>
    </w:p>
    <w:p>
      <w:pPr>
        <w:pStyle w:val="BodyText"/>
      </w:pPr>
      <w:r>
        <w:t xml:space="preserve">Second, surgical audits were performed to assess complication rates and adherence to sterile techniques. Third, interviews were conducted with nursing staff, allied health professionals, and colleagues to gauge professional behavior and communication skills. Finally, patient satisfaction surveys were analyzed to evaluate the quality of patient interaction and informed consent processes. All data collection was performed anonymously to maintain confidentiality and objectivity.</w:t>
      </w:r>
    </w:p>
    <w:bookmarkEnd w:id="23"/>
    <w:bookmarkStart w:id="24" w:name="Xc421ccf1eda62d725dcf64ff96030419f3ca053"/>
    <w:p>
      <w:pPr>
        <w:pStyle w:val="Heading2"/>
      </w:pPr>
      <w:r>
        <w:t xml:space="preserve">4. Clinical Competence and Surgical Performance</w:t>
      </w:r>
    </w:p>
    <w:p>
      <w:pPr>
        <w:pStyle w:val="FirstParagraph"/>
      </w:pPr>
      <w:r>
        <w:t xml:space="preserve">The review indicates that the Ophthalmologist demonstrates a high level of clinical competence. Diagnostic assessments were found to be accurate and thorough, utilizing advanced imaging technologies available in Riyadh's modern medical facilities. The management of acute conditions, such as retinal detachments and ocular trauma, was timely and effective, resulting in favorable visual outcomes for the majority of patients.</w:t>
      </w:r>
    </w:p>
    <w:p>
      <w:pPr>
        <w:pStyle w:val="BodyText"/>
      </w:pPr>
      <w:r>
        <w:t xml:space="preserve">In terms of surgical performance, the complication rates for routine procedures, such as phacoemulsification with intraocular lens implantation, were within the acceptable range defined by international ophthalmic societies. The surgeon showed proficiency in handling complex cases, including those involving pseudoexfoliation syndrome, which is prevalent in the region. However, the report notes a minor area for improvement regarding the documentation of intraoperative findings, which should be more detailed to facilitate better continuity of care.</w:t>
      </w:r>
    </w:p>
    <w:bookmarkEnd w:id="24"/>
    <w:bookmarkStart w:id="25" w:name="adherence-to-standards-and-regulations"/>
    <w:p>
      <w:pPr>
        <w:pStyle w:val="Heading2"/>
      </w:pPr>
      <w:r>
        <w:t xml:space="preserve">5. Adherence to Standards and Regulations</w:t>
      </w:r>
    </w:p>
    <w:p>
      <w:pPr>
        <w:pStyle w:val="FirstParagraph"/>
      </w:pPr>
      <w:r>
        <w:t xml:space="preserve">Compliance with the regulatory framework of Saudi Arabia is a critical component of this Peer Review Report. The Ophthalmologist was found to be fully licensed and in good standing with the SCFHS. The practice adheres to the clinical guidelines issued by the Saudi Ophthalmological Society. Infection control protocols were strictly followed, with no breaches identified during the audit of the surgical suite.</w:t>
      </w:r>
    </w:p>
    <w:p>
      <w:pPr>
        <w:pStyle w:val="BodyText"/>
      </w:pPr>
      <w:r>
        <w:t xml:space="preserve">Furthermore, the physician demonstrates a commitment to Continuing Medical Education (CME), having attended relevant conferences and workshops in Riyadh and internationally. This ongoing education ensures that the Ophthalmologist remains current with the latest advancements in ophthalmic technology and treatment modalities, which is essential for maintaining high standards of care in a rapidly evolving medical landscape.</w:t>
      </w:r>
    </w:p>
    <w:bookmarkEnd w:id="25"/>
    <w:bookmarkStart w:id="26" w:name="professional-conduct-and-patient-care"/>
    <w:p>
      <w:pPr>
        <w:pStyle w:val="Heading2"/>
      </w:pPr>
      <w:r>
        <w:t xml:space="preserve">6. Professional Conduct and Patient Care</w:t>
      </w:r>
    </w:p>
    <w:p>
      <w:pPr>
        <w:pStyle w:val="FirstParagraph"/>
      </w:pPr>
      <w:r>
        <w:t xml:space="preserve">Professional conduct is paramount in the healthcare sector. Feedback from colleagues and staff highlights the Ophthalmologist as a collaborative team player who communicates effectively with multidisciplinary teams. Patient feedback was overwhelmingly positive, with patients praising the physician's empathy, clarity in explaining medical conditions, and respect for cultural sensitivities.</w:t>
      </w:r>
    </w:p>
    <w:p>
      <w:pPr>
        <w:pStyle w:val="BodyText"/>
      </w:pPr>
      <w:r>
        <w:t xml:space="preserve">Informed consent processes were observed to be robust, ensuring that patients in Riyadh are fully aware of the risks, benefits, and alternatives of proposed treatments. The physician's ability to communicate in both English and Arabic was noted as a significant asset in bridging communication gaps and ensuring patient understanding.</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Enhance the detail level in surgical documentation to meet the highest standards of medical record-keeping.</w:t>
      </w:r>
    </w:p>
    <w:p>
      <w:pPr>
        <w:numPr>
          <w:ilvl w:val="0"/>
          <w:numId w:val="1001"/>
        </w:numPr>
        <w:pStyle w:val="Compact"/>
      </w:pPr>
      <w:r>
        <w:t xml:space="preserve">Continue participation in CME activities, with a specific focus on emerging technologies in refractive surgery.</w:t>
      </w:r>
    </w:p>
    <w:p>
      <w:pPr>
        <w:numPr>
          <w:ilvl w:val="0"/>
          <w:numId w:val="1001"/>
        </w:numPr>
        <w:pStyle w:val="Compact"/>
      </w:pPr>
      <w:r>
        <w:t xml:space="preserve">Maintain current infection control practices and regularly review protocols to align with any updates from the Ministry of Health.</w:t>
      </w:r>
    </w:p>
    <w:bookmarkEnd w:id="27"/>
    <w:bookmarkStart w:id="28" w:name="conclusion"/>
    <w:p>
      <w:pPr>
        <w:pStyle w:val="Heading2"/>
      </w:pPr>
      <w:r>
        <w:t xml:space="preserve">8. Conclusion</w:t>
      </w:r>
    </w:p>
    <w:p>
      <w:pPr>
        <w:pStyle w:val="FirstParagraph"/>
      </w:pPr>
      <w:r>
        <w:t xml:space="preserve">In conclusion, this Peer Review Report affirms that the Ophthalmologist under review is a competent, ethical, and dedicated medical professional. The quality of care provided in Riyadh meets the rigorous standards expected by the Saudi Commission for Health Specialties and the broader medical community. The physician's commitment to patient safety, clinical excellence, and professional development makes a valuable contribution to the ophthalmic healthcare landscape in Saudi Arabia. No immediate corrective actions are required, but the suggested recommendations should be implemented to further enhance clinical practice.</w:t>
      </w:r>
    </w:p>
    <w:bookmarkEnd w:id="28"/>
    <w:p>
      <w:pPr>
        <w:pStyle w:val="BodyText"/>
      </w:pPr>
      <w:r>
        <w:rPr>
          <w:bCs/>
          <w:b/>
        </w:rPr>
        <w:t xml:space="preserve">Prepared by:</w:t>
      </w:r>
    </w:p>
    <w:p>
      <w:pPr>
        <w:pStyle w:val="BodyText"/>
      </w:pPr>
      <w:r>
        <w:t xml:space="preserve">Dr. [Reviewer Name]</w:t>
      </w:r>
    </w:p>
    <w:p>
      <w:pPr>
        <w:pStyle w:val="BodyText"/>
      </w:pPr>
      <w:r>
        <w:t xml:space="preserve">Senior Ophthalmologist &amp; Peer Review Committee Chair</w:t>
      </w:r>
    </w:p>
    <w:p>
      <w:pPr>
        <w:pStyle w:val="BodyText"/>
      </w:pPr>
      <w:r>
        <w:t xml:space="preserve">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Riyadh, Saudi Arabia</dc:title>
  <dc:creator/>
  <dc:language>en</dc:language>
  <cp:keywords/>
  <dcterms:created xsi:type="dcterms:W3CDTF">2026-10-10T01:59:42Z</dcterms:created>
  <dcterms:modified xsi:type="dcterms:W3CDTF">2026-10-10T01:59:42Z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