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Senegal, Dakar</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administrative compliance of a practicing Ophthalmologist within the healthcare infrastructure of Senegal, specifically in the Dakar region. The review process was conducted in accordance with the standards set by the Ordre National des Médecins du Sénégal (ONMS) and international best practices for ophthalmic care. The primary objective of this assessment is to ensure that the specialist maintains the highest level of patient safety, diagnostic accuracy, and surgical proficiency required for the complex visual health needs of the population in Dakar.</w:t>
      </w:r>
    </w:p>
    <w:p>
      <w:pPr>
        <w:pStyle w:val="BodyText"/>
      </w:pPr>
      <w:r>
        <w:t xml:space="preserve">The evaluation encompasses a comprehensive analysis of medical records, surgical outcomes, patient feedback, and adherence to local health regulations. The findings presented herein are intended to provide constructive feedback for professional development and to certify the continued fitness of the Ophthalmologist to practice in this specialized field.</w:t>
      </w:r>
    </w:p>
    <w:bookmarkEnd w:id="21"/>
    <w:bookmarkStart w:id="22" w:name="X5a463533dc425dcc0ad20aeca4589a3ccb895cc"/>
    <w:p>
      <w:pPr>
        <w:pStyle w:val="Heading2"/>
      </w:pPr>
      <w:r>
        <w:t xml:space="preserve">2. Scope of Practice and Clinical Competency</w:t>
      </w:r>
    </w:p>
    <w:p>
      <w:pPr>
        <w:pStyle w:val="FirstParagraph"/>
      </w:pPr>
      <w:r>
        <w:t xml:space="preserve">The Ophthalmologist under review demonstrates a robust command of both medical and surgical ophthalmology. The scope of practice in Dakar is extensive, requiring the specialist to manage a diverse caseload that includes refractive errors, cataracts, glaucoma, diabetic retinopathy, and pediatric ophthalmology conditions.</w:t>
      </w:r>
    </w:p>
    <w:p>
      <w:pPr>
        <w:pStyle w:val="BodyText"/>
      </w:pPr>
      <w:r>
        <w:rPr>
          <w:bCs/>
          <w:b/>
        </w:rPr>
        <w:t xml:space="preserve">Diagnostic Accuracy:</w:t>
      </w:r>
      <w:r>
        <w:t xml:space="preserve"> </w:t>
      </w:r>
      <w:r>
        <w:t xml:space="preserve">The review of 150 anonymized patient files indicates a high degree of diagnostic precision. The Ophthalmologist effectively utilizes available diagnostic tools, including slit-lamp biomicroscopy, tonometry, and fundus photography. In the context of Dakar, where the prevalence of diabetic retinopathy is rising, the specialist shows particular diligence in early detection and referral protocols for laser therapy.</w:t>
      </w:r>
    </w:p>
    <w:p>
      <w:pPr>
        <w:pStyle w:val="BodyText"/>
      </w:pPr>
      <w:r>
        <w:rPr>
          <w:bCs/>
          <w:b/>
        </w:rPr>
        <w:t xml:space="preserve">Surgical Proficiency:</w:t>
      </w:r>
      <w:r>
        <w:t xml:space="preserve"> </w:t>
      </w:r>
      <w:r>
        <w:t xml:space="preserve">Surgical records were audited for the past 24 months. The Ophthalmologist performs a high volume of phacoemulsification procedures. The complication rate is well within the acceptable international range. Post-operative care protocols are strictly followed, ensuring that patients in the Dakar area receive timely follow-up examinations to monitor intraocular pressure and wound healing.</w:t>
      </w:r>
    </w:p>
    <w:bookmarkEnd w:id="22"/>
    <w:bookmarkStart w:id="23" w:name="Xf170da432cde200eeed42a13075ccb9805bed3b"/>
    <w:p>
      <w:pPr>
        <w:pStyle w:val="Heading2"/>
      </w:pPr>
      <w:r>
        <w:t xml:space="preserve">3. Adherence to Local Regulations and Standards</w:t>
      </w:r>
    </w:p>
    <w:p>
      <w:pPr>
        <w:pStyle w:val="FirstParagraph"/>
      </w:pPr>
      <w:r>
        <w:t xml:space="preserve">A critical component of this Peer Review Report is the assessment of compliance with the specific healthcare regulations of Senegal. The Ophthalmologist is in full compliance with the licensing requirements of the Ministry of Health and Social Action.</w:t>
      </w:r>
    </w:p>
    <w:p>
      <w:pPr>
        <w:pStyle w:val="BodyText"/>
      </w:pPr>
      <w:r>
        <w:rPr>
          <w:bCs/>
          <w:b/>
        </w:rPr>
        <w:t xml:space="preserve">Infection Control:</w:t>
      </w:r>
      <w:r>
        <w:t xml:space="preserve"> </w:t>
      </w:r>
      <w:r>
        <w:t xml:space="preserve">Given the tropical climate of Dakar, infection control is paramount. The review confirms that the clinic adheres to strict sterilization protocols for surgical instruments. The facility meets the hygiene standards mandated by the Senegalese health authorities, minimizing the risk of post-operative infections such as endophthalmitis.</w:t>
      </w:r>
    </w:p>
    <w:p>
      <w:pPr>
        <w:pStyle w:val="BodyText"/>
      </w:pPr>
      <w:r>
        <w:rPr>
          <w:bCs/>
          <w:b/>
        </w:rPr>
        <w:t xml:space="preserve">Medical Records:</w:t>
      </w:r>
      <w:r>
        <w:t xml:space="preserve"> </w:t>
      </w:r>
      <w:r>
        <w:t xml:space="preserve">Documentation practices are thorough. Patient histories, consent forms, and surgical notes are maintained in both French and English, facilitating clear communication with a diverse patient base in Dakar. This bilingual approach is essential for ensuring informed consent and effective patient education.</w:t>
      </w:r>
    </w:p>
    <w:bookmarkEnd w:id="23"/>
    <w:bookmarkStart w:id="24" w:name="patient-care-and-communication"/>
    <w:p>
      <w:pPr>
        <w:pStyle w:val="Heading2"/>
      </w:pPr>
      <w:r>
        <w:t xml:space="preserve">4. Patient Care and Communication</w:t>
      </w:r>
    </w:p>
    <w:p>
      <w:pPr>
        <w:pStyle w:val="FirstParagraph"/>
      </w:pPr>
      <w:r>
        <w:t xml:space="preserve">The quality of patient interaction is a vital metric in this evaluation. The Ophthalmologist exhibits strong communication skills, taking the time to explain complex ocular conditions in terms understandable to patients from various educational backgrounds.</w:t>
      </w:r>
    </w:p>
    <w:p>
      <w:pPr>
        <w:pStyle w:val="BodyText"/>
      </w:pPr>
      <w:r>
        <w:t xml:space="preserve">Feedback collected from patients in the Dakar region highlights the specialist's empathy and patience. Patients report feeling comfortable discussing their visual impairments and are well-informed about treatment options, including the financial implications of surgeries. This transparency is crucial in the Senegalese healthcare context, where out-of-pocket expenses can be a significant barrier to care.</w:t>
      </w:r>
    </w:p>
    <w:bookmarkEnd w:id="24"/>
    <w:bookmarkStart w:id="25" w:name="continuing-professional-development"/>
    <w:p>
      <w:pPr>
        <w:pStyle w:val="Heading2"/>
      </w:pPr>
      <w:r>
        <w:t xml:space="preserve">5. Continuing Professional Development</w:t>
      </w:r>
    </w:p>
    <w:p>
      <w:pPr>
        <w:pStyle w:val="FirstParagraph"/>
      </w:pPr>
      <w:r>
        <w:t xml:space="preserve">The field of Ophthalmology is rapidly evolving, and continuous learning is mandatory. The Ophthalmologist under review actively participates in continuing medical education (CME) activities. This includes attendance at regional conferences in West Africa and international webinars focused on the latest advancements in retinal therapy and refractive surgery.</w:t>
      </w:r>
    </w:p>
    <w:p>
      <w:pPr>
        <w:pStyle w:val="BodyText"/>
      </w:pPr>
      <w:r>
        <w:t xml:space="preserve">Furthermore, the specialist contributes to the local medical community in Dakar by mentoring junior residents and participating in community health outreach programs aimed at reducing preventable blindness in underserved areas of Senegal.</w:t>
      </w:r>
    </w:p>
    <w:bookmarkEnd w:id="25"/>
    <w:bookmarkStart w:id="26" w:name="recommendations-and-conclusion"/>
    <w:p>
      <w:pPr>
        <w:pStyle w:val="Heading2"/>
      </w:pPr>
      <w:r>
        <w:t xml:space="preserve">6. Recommendations and Conclusion</w:t>
      </w:r>
    </w:p>
    <w:p>
      <w:pPr>
        <w:pStyle w:val="FirstParagraph"/>
      </w:pPr>
      <w:r>
        <w:t xml:space="preserve">Based on the comprehensive data analyzed in this Peer Review Report, the Ophthalmologist is deemed fully competent and fit to continue practicing in Senegal, Dakar. The specialist demonstrates exceptional clinical skills, strict adherence to safety protocols, and a deep commitment to patient welfare.</w:t>
      </w:r>
    </w:p>
    <w:p>
      <w:pPr>
        <w:pStyle w:val="BodyText"/>
      </w:pPr>
      <w:r>
        <w:rPr>
          <w:bCs/>
          <w:b/>
        </w:rPr>
        <w:t xml:space="preserve">Recommendations:</w:t>
      </w:r>
    </w:p>
    <w:p>
      <w:pPr>
        <w:numPr>
          <w:ilvl w:val="0"/>
          <w:numId w:val="1001"/>
        </w:numPr>
        <w:pStyle w:val="Compact"/>
      </w:pPr>
      <w:r>
        <w:t xml:space="preserve">Continue to expand telemedicine services to reach patients in rural areas of Senegal.</w:t>
      </w:r>
    </w:p>
    <w:p>
      <w:pPr>
        <w:numPr>
          <w:ilvl w:val="0"/>
          <w:numId w:val="1001"/>
        </w:numPr>
        <w:pStyle w:val="Compact"/>
      </w:pPr>
      <w:r>
        <w:t xml:space="preserve">Implement a digital patient portal to enhance follow-up care for chronic conditions like glaucoma.</w:t>
      </w:r>
    </w:p>
    <w:p>
      <w:pPr>
        <w:numPr>
          <w:ilvl w:val="0"/>
          <w:numId w:val="1001"/>
        </w:numPr>
        <w:pStyle w:val="Compact"/>
      </w:pPr>
      <w:r>
        <w:t xml:space="preserve">Maintain current participation in international ophthalmic research networks.</w:t>
      </w:r>
    </w:p>
    <w:p>
      <w:pPr>
        <w:pStyle w:val="FirstParagraph"/>
      </w:pPr>
      <w:r>
        <w:t xml:space="preserve">This report serves as a formal endorsement of the Ophthalmologist's professional standing. It is recommended that this evaluation be filed with the relevant medical boards in Dakar and reviewed again in two years.</w:t>
      </w:r>
    </w:p>
    <w:bookmarkEnd w:id="26"/>
    <w:p>
      <w:pPr>
        <w:pStyle w:val="BodyText"/>
      </w:pPr>
      <w:r>
        <w:rPr>
          <w:bCs/>
          <w:b/>
        </w:rPr>
        <w:t xml:space="preserve">Reviewed By:</w:t>
      </w:r>
    </w:p>
    <w:p>
      <w:pPr>
        <w:pStyle w:val="BodyText"/>
      </w:pPr>
      <w:r>
        <w:t xml:space="preserve">Dr. [Reviewer Name], MD, PhD</w:t>
      </w:r>
    </w:p>
    <w:p>
      <w:pPr>
        <w:pStyle w:val="BodyText"/>
      </w:pPr>
      <w:r>
        <w:t xml:space="preserve">Senior Ophthalmologist &amp; Peer Review Committee Chair</w:t>
      </w:r>
    </w:p>
    <w:p>
      <w:pPr>
        <w:pStyle w:val="BodyText"/>
      </w:pPr>
      <w:r>
        <w:t xml:space="preserve">Accredited by the Senegalese Medical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Senegal Dakar</dc:title>
  <dc:creator/>
  <dc:language>en</dc:language>
  <cp:keywords/>
  <dcterms:created xsi:type="dcterms:W3CDTF">2026-10-10T03:50:35Z</dcterms:created>
  <dcterms:modified xsi:type="dcterms:W3CDTF">2026-10-10T03:50:35Z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