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Conduct Assessment</w:t>
      </w:r>
    </w:p>
    <w:p>
      <w:pPr>
        <w:pStyle w:val="BodyText"/>
      </w:pPr>
      <w:r>
        <w:rPr>
          <w:bCs/>
          <w:b/>
        </w:rPr>
        <w:t xml:space="preserve">Specialty:</w:t>
      </w:r>
      <w:r>
        <w:t xml:space="preserve"> </w:t>
      </w:r>
      <w:r>
        <w:t xml:space="preserve">Ophthalmology</w:t>
      </w:r>
    </w:p>
    <w:p>
      <w:pPr>
        <w:pStyle w:val="BodyText"/>
      </w:pPr>
      <w:r>
        <w:rPr>
          <w:bCs/>
          <w:b/>
        </w:rPr>
        <w:t xml:space="preserve">Jurisdiction:</w:t>
      </w:r>
      <w:r>
        <w:t xml:space="preserve"> </w:t>
      </w:r>
      <w:r>
        <w:t xml:space="preserve">Singapore</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practice, professional standards, and adherence to regulatory guidelines of a practicing Ophthalmologist within the healthcare framework of Singapore. The review is conducted in accordance with the standards set forth by the Singapore Medical Council (SMC) and the relevant specialty boards. The primary objective is to ensure that the ophthalmic care provided aligns with the high expectations of patient safety, clinical excellence, and ethical practice mandated in Singapore.</w:t>
      </w:r>
    </w:p>
    <w:p>
      <w:pPr>
        <w:pStyle w:val="BodyText"/>
      </w:pPr>
      <w:r>
        <w:t xml:space="preserve">The scope of this review encompasses a comprehensive analysis of surgical outcomes, diagnostic accuracy, patient management protocols, and the integration of advanced ophthalmic technologies. Given the rapidly evolving nature of ophthalmology, this report also assesses the specialist's commitment to Continuing Medical Education (CME) and their contribution to the broader medical community in Singapore.</w:t>
      </w:r>
    </w:p>
    <w:bookmarkEnd w:id="21"/>
    <w:bookmarkStart w:id="22" w:name="X5a12571bd3847e7198e3f9033cf65c8055746ea"/>
    <w:p>
      <w:pPr>
        <w:pStyle w:val="Heading2"/>
      </w:pPr>
      <w:r>
        <w:t xml:space="preserve">2. Clinical Competency and Surgical Proficiency</w:t>
      </w:r>
    </w:p>
    <w:p>
      <w:pPr>
        <w:pStyle w:val="FirstParagraph"/>
      </w:pPr>
      <w:r>
        <w:t xml:space="preserve">The core of this Peer Review Report focuses on the technical skills of the Ophthalmologist. The review panel examined a random sample of 150 surgical cases, including cataract extractions with intraocular lens implantation, glaucoma surgeries, and vitreoretinal procedures. The data indicates a complication rate significantly lower than the national average for Singapore, demonstrating a high level of surgical proficiency.</w:t>
      </w:r>
    </w:p>
    <w:p>
      <w:pPr>
        <w:pStyle w:val="BodyText"/>
      </w:pPr>
      <w:r>
        <w:t xml:space="preserve">Particular attention was paid to the management of complex cases, such as diabetic retinopathy and age-related macular degeneration. The Ophthalmologist demonstrated exceptional skill in utilizing advanced imaging technologies, including Optical Coherence Tomography (OCT) and fundus fluorescein angiography, which are standard in top-tier Singaporean hospitals. The diagnostic accuracy was found to be robust, with timely referrals to sub-specialists when necessary, ensuring a holistic approach to patient care.</w:t>
      </w:r>
    </w:p>
    <w:bookmarkEnd w:id="22"/>
    <w:bookmarkStart w:id="23" w:name="Xc72efb8b7f5065a63573437056e06ce4a65ba18"/>
    <w:p>
      <w:pPr>
        <w:pStyle w:val="Heading2"/>
      </w:pPr>
      <w:r>
        <w:t xml:space="preserve">3. Adherence to Singapore Medical Council Guidelines</w:t>
      </w:r>
    </w:p>
    <w:p>
      <w:pPr>
        <w:pStyle w:val="FirstParagraph"/>
      </w:pPr>
      <w:r>
        <w:t xml:space="preserve">Compliance with the Ethical Code and Ethical Guidelines of the Singapore Medical Council is a critical component of this assessment. The review confirms that the Ophthalmologist strictly adheres to the principles of patient confidentiality, informed consent, and professional integrity. Documentation practices were audited and found to be thorough, accurate, and compliant with the legal requirements for medical records in Singapore.</w:t>
      </w:r>
    </w:p>
    <w:p>
      <w:pPr>
        <w:pStyle w:val="BodyText"/>
      </w:pPr>
      <w:r>
        <w:t xml:space="preserve">Furthermore, the specialist demonstrates a clear understanding of the regulatory environment in Singapore, including the proper handling of medical devices and pharmaceuticals. There were no instances of non-compliance regarding the prescription of medications or the use of surgical equipment. The Ophthalmologist actively participates in hospital governance and quality assurance committees, reflecting a strong commitment to maintaining the standards of healthcare delivery in Singapore.</w:t>
      </w:r>
    </w:p>
    <w:bookmarkEnd w:id="23"/>
    <w:bookmarkStart w:id="24" w:name="patient-care-and-communication"/>
    <w:p>
      <w:pPr>
        <w:pStyle w:val="Heading2"/>
      </w:pPr>
      <w:r>
        <w:t xml:space="preserve">4. Patient Care and Communication</w:t>
      </w:r>
    </w:p>
    <w:p>
      <w:pPr>
        <w:pStyle w:val="FirstParagraph"/>
      </w:pPr>
      <w:r>
        <w:t xml:space="preserve">Effective communication is vital in ophthalmology, where patients often face anxiety regarding vision loss. This Peer Review Report includes feedback from patient satisfaction surveys and direct observations of consultations. The Ophthalmologist is commended for their ability to explain complex ophthalmic conditions in layman's terms, ensuring that patients from diverse backgrounds in Singapore fully understand their diagnosis and treatment options.</w:t>
      </w:r>
    </w:p>
    <w:p>
      <w:pPr>
        <w:pStyle w:val="BodyText"/>
      </w:pPr>
      <w:r>
        <w:t xml:space="preserve">The review highlights the specialist's empathetic approach and their dedication to patient-centered care. Follow-up protocols are systematic and efficient, minimizing wait times and ensuring that post-operative care is monitored closely. This level of service is consistent with the high standards expected in Singapore's healthcare system, which prioritizes both clinical outcomes and patient experience.</w:t>
      </w:r>
    </w:p>
    <w:bookmarkEnd w:id="24"/>
    <w:bookmarkStart w:id="25" w:name="Xd51832c7a0d27a8b6b06225e1d6e87eb0208f1a"/>
    <w:p>
      <w:pPr>
        <w:pStyle w:val="Heading2"/>
      </w:pPr>
      <w:r>
        <w:t xml:space="preserve">5. Professional Development and Contribution to the Field</w:t>
      </w:r>
    </w:p>
    <w:p>
      <w:pPr>
        <w:pStyle w:val="FirstParagraph"/>
      </w:pPr>
      <w:r>
        <w:t xml:space="preserve">An essential aspect of this Peer Review Report is the evaluation of the Ophthalmologist's engagement with the medical community. The specialist maintains an active membership with the Singapore Association of Ophthalmologists and regularly attends international conferences to stay abreast of the latest advancements in eye care. This commitment to lifelong learning is crucial for maintaining competence in a field as dynamic as ophthalmology.</w:t>
      </w:r>
    </w:p>
    <w:p>
      <w:pPr>
        <w:pStyle w:val="BodyText"/>
      </w:pPr>
      <w:r>
        <w:t xml:space="preserve">Additionally, the Ophthalmologist contributes to the training of junior doctors and medical students in Singapore, fostering the next generation of eye care professionals. Their involvement in research and publication of clinical studies further enhances their standing as a respected figure in the field. This dedication to education and research aligns with the national goals of Singapore to be a hub for medical innovation and excellence.</w:t>
      </w:r>
    </w:p>
    <w:bookmarkEnd w:id="25"/>
    <w:bookmarkStart w:id="26" w:name="conclusion-and-recommendations"/>
    <w:p>
      <w:pPr>
        <w:pStyle w:val="Heading2"/>
      </w:pPr>
      <w:r>
        <w:t xml:space="preserve">6. Conclusion and Recommendations</w:t>
      </w:r>
    </w:p>
    <w:p>
      <w:pPr>
        <w:pStyle w:val="FirstParagraph"/>
      </w:pPr>
      <w:r>
        <w:t xml:space="preserve">Based on the comprehensive evaluation detailed in this Peer Review Report, the Ophthalmologist under review demonstrates exceptional clinical competence, ethical integrity, and a strong commitment to patient care. Their practice is fully aligned with the standards required in Singapore, and they serve as a model of professionalism within the ophthalmic community.</w:t>
      </w:r>
    </w:p>
    <w:p>
      <w:pPr>
        <w:pStyle w:val="BodyText"/>
      </w:pPr>
      <w:r>
        <w:t xml:space="preserve">The review panel recommends the continued renewal of the specialist's privileges and encourages ongoing participation in peer review processes to maintain the highest standards of care. It is evident that this Ophthalmologist plays a vital role in delivering high-quality eye care services to the population of Singapore, contributing significantly to the nation's healthcare landscape.</w:t>
      </w:r>
    </w:p>
    <w:bookmarkEnd w:id="26"/>
    <w:p>
      <w:pPr>
        <w:pStyle w:val="BodyText"/>
      </w:pPr>
      <w:r>
        <w:rPr>
          <w:bCs/>
          <w:b/>
        </w:rPr>
        <w:t xml:space="preserve">Prepared by:</w:t>
      </w:r>
    </w:p>
    <w:p>
      <w:pPr>
        <w:pStyle w:val="BodyText"/>
      </w:pPr>
      <w:r>
        <w:t xml:space="preserve">Dr. A. Tan, MBBS, FRCS (Ophth)</w:t>
      </w:r>
    </w:p>
    <w:p>
      <w:pPr>
        <w:pStyle w:val="BodyText"/>
      </w:pPr>
      <w:r>
        <w:t xml:space="preserve">Senior Peer Reviewer</w:t>
      </w:r>
    </w:p>
    <w:p>
      <w:pPr>
        <w:pStyle w:val="BodyText"/>
      </w:pPr>
      <w:r>
        <w:t xml:space="preserve">Singapore Medical Council Accredited Review Panel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Singapore</dc:title>
  <dc:creator/>
  <dc:language>en</dc:language>
  <cp:keywords/>
  <dcterms:created xsi:type="dcterms:W3CDTF">2026-10-10T04:25:07Z</dcterms:created>
  <dcterms:modified xsi:type="dcterms:W3CDTF">2026-10-10T04:25:07Z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