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Specialty:</w:t>
      </w:r>
      <w:r>
        <w:t xml:space="preserve"> </w:t>
      </w:r>
      <w:r>
        <w:t xml:space="preserve">Ophthalmology</w:t>
      </w:r>
    </w:p>
    <w:p>
      <w:pPr>
        <w:pStyle w:val="BodyText"/>
      </w:pPr>
      <w:r>
        <w:rPr>
          <w:bCs/>
          <w:b/>
        </w:rPr>
        <w:t xml:space="preserve">Location:</w:t>
      </w:r>
      <w:r>
        <w:t xml:space="preserve"> </w:t>
      </w:r>
      <w:r>
        <w:t xml:space="preserve">Cape Town, Western Cape, South Africa</w:t>
      </w:r>
    </w:p>
    <w:bookmarkEnd w:id="20"/>
    <w:p>
      <w:pPr>
        <w:pStyle w:val="BodyText"/>
      </w:pPr>
      <w:r>
        <w:rPr>
          <w:bCs/>
          <w:b/>
        </w:rPr>
        <w:t xml:space="preserve">Report ID:</w:t>
      </w:r>
      <w:r>
        <w:t xml:space="preserve"> </w:t>
      </w:r>
      <w:r>
        <w:t xml:space="preserve">PR-CT-OPH-2023-089</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Cape Town Ophthalmic Quality Assurance Panel</w:t>
      </w:r>
      <w:r>
        <w:br/>
      </w:r>
      <w:r>
        <w:rPr>
          <w:bCs/>
          <w:b/>
        </w:rPr>
        <w:t xml:space="preserve">Regulatory Context:</w:t>
      </w:r>
      <w:r>
        <w:t xml:space="preserve"> </w:t>
      </w:r>
      <w:r>
        <w:t xml:space="preserve">HPCSA Guidelines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following a comprehensive audit of clinical practices, surgical outcomes, and patient management protocols of the subject</w:t>
      </w:r>
      <w:r>
        <w:t xml:space="preserve"> </w:t>
      </w:r>
      <w:r>
        <w:rPr>
          <w:bCs/>
          <w:b/>
        </w:rPr>
        <w:t xml:space="preserve">Ophthalmologist</w:t>
      </w:r>
      <w:r>
        <w:t xml:space="preserve"> </w:t>
      </w:r>
      <w:r>
        <w:t xml:space="preserve">practicing within the metropolitan area of</w:t>
      </w:r>
      <w:r>
        <w:t xml:space="preserve"> </w:t>
      </w:r>
      <w:r>
        <w:rPr>
          <w:bCs/>
          <w:b/>
        </w:rPr>
        <w:t xml:space="preserve">South Africa Cape Town</w:t>
      </w:r>
      <w:r>
        <w:t xml:space="preserve">. The review was conducted in accordance with the standards set by the Health Professions Council of South Africa (HPCSA) and local hospital bylaws.</w:t>
      </w:r>
    </w:p>
    <w:p>
      <w:pPr>
        <w:pStyle w:val="BodyText"/>
      </w:pPr>
      <w:r>
        <w:t xml:space="preserve">The primary objective of this assessment was to evaluate the quality of care provided in both outpatient and surgical settings. The review covers a twelve-month period and includes an analysis of cataract surgeries, glaucoma management, and retinal interventions. The findings indicate a high level of clinical competence, with specific recommendations for enhancing documentation and patient follow-up systems to align with international best practices.</w:t>
      </w:r>
    </w:p>
    <w:bookmarkEnd w:id="21"/>
    <w:bookmarkStart w:id="22" w:name="Xbfe9c8efc9cdc6c7b7168edfac7064dbd98bdc8"/>
    <w:p>
      <w:pPr>
        <w:pStyle w:val="Heading2"/>
      </w:pPr>
      <w:r>
        <w:t xml:space="preserve">2. Practitioner Profile and Scope of Practice</w:t>
      </w:r>
    </w:p>
    <w:p>
      <w:pPr>
        <w:pStyle w:val="FirstParagraph"/>
      </w:pPr>
      <w:r>
        <w:t xml:space="preserve">The subject</w:t>
      </w:r>
      <w:r>
        <w:t xml:space="preserve"> </w:t>
      </w:r>
      <w:r>
        <w:rPr>
          <w:bCs/>
          <w:b/>
        </w:rPr>
        <w:t xml:space="preserve">Ophthalmologist</w:t>
      </w:r>
      <w:r>
        <w:t xml:space="preserve"> </w:t>
      </w:r>
      <w:r>
        <w:t xml:space="preserve">is registered with the HPCSA and maintains a private practice in the Southern Suburbs of</w:t>
      </w:r>
      <w:r>
        <w:t xml:space="preserve"> </w:t>
      </w:r>
      <w:r>
        <w:rPr>
          <w:bCs/>
          <w:b/>
        </w:rPr>
        <w:t xml:space="preserve">South Africa Cape Town</w:t>
      </w:r>
      <w:r>
        <w:t xml:space="preserve">, while also holding visiting consultant privileges at a major public hospital in the region. The scope of practice includes comprehensive eye care, refractive surgery, and complex anterior segment procedures.</w:t>
      </w:r>
    </w:p>
    <w:p>
      <w:pPr>
        <w:pStyle w:val="BodyText"/>
      </w:pPr>
      <w:r>
        <w:t xml:space="preserve">The review panel noted that the practitioner actively engages in continuing professional development (CPD), attending regional conferences in Cape Town and contributing to local research on ocular health disparities in the Western Cape. This commitment to professional growth is a positive indicator of clinical currency.</w:t>
      </w:r>
    </w:p>
    <w:bookmarkEnd w:id="22"/>
    <w:bookmarkStart w:id="26" w:name="Xa882c91f75d1156c5c30bb9424ac172a97c732a"/>
    <w:p>
      <w:pPr>
        <w:pStyle w:val="Heading2"/>
      </w:pPr>
      <w:r>
        <w:t xml:space="preserve">3. Clinical Competence and Surgical Outcomes</w:t>
      </w:r>
    </w:p>
    <w:bookmarkStart w:id="23" w:name="cataract-surgery"/>
    <w:p>
      <w:pPr>
        <w:pStyle w:val="Heading3"/>
      </w:pPr>
      <w:r>
        <w:t xml:space="preserve">3.1 Cataract Surgery</w:t>
      </w:r>
    </w:p>
    <w:p>
      <w:pPr>
        <w:pStyle w:val="FirstParagraph"/>
      </w:pPr>
      <w:r>
        <w:t xml:space="preserve">A random sample of 50 cataract surgery cases was reviewed. The</w:t>
      </w:r>
      <w:r>
        <w:t xml:space="preserve"> </w:t>
      </w:r>
      <w:r>
        <w:rPr>
          <w:bCs/>
          <w:b/>
        </w:rPr>
        <w:t xml:space="preserve">Ophthalmologist</w:t>
      </w:r>
      <w:r>
        <w:t xml:space="preserve"> </w:t>
      </w:r>
      <w:r>
        <w:t xml:space="preserve">demonstrated excellent surgical technique with a low rate of intraoperative complications. Post-operative visual acuity outcomes were favorable, with 92% of patients achieving 6/12 vision or better within four weeks. This aligns with the expected standards for a specialist practicing in</w:t>
      </w:r>
      <w:r>
        <w:t xml:space="preserve"> </w:t>
      </w:r>
      <w:r>
        <w:rPr>
          <w:bCs/>
          <w:b/>
        </w:rPr>
        <w:t xml:space="preserve">South Africa Cape Town</w:t>
      </w:r>
      <w:r>
        <w:t xml:space="preserve">.</w:t>
      </w:r>
    </w:p>
    <w:bookmarkEnd w:id="23"/>
    <w:bookmarkStart w:id="24" w:name="glaucoma-management"/>
    <w:p>
      <w:pPr>
        <w:pStyle w:val="Heading3"/>
      </w:pPr>
      <w:r>
        <w:t xml:space="preserve">3.2 Glaucoma Management</w:t>
      </w:r>
    </w:p>
    <w:p>
      <w:pPr>
        <w:pStyle w:val="FirstParagraph"/>
      </w:pPr>
      <w:r>
        <w:t xml:space="preserve">The management of glaucoma patients was assessed based on adherence to treatment guidelines. The review found that intraocular pressure (IOP) targets were generally met. However, the</w:t>
      </w:r>
      <w:r>
        <w:t xml:space="preserve"> </w:t>
      </w:r>
      <w:r>
        <w:rPr>
          <w:bCs/>
          <w:b/>
        </w:rPr>
        <w:t xml:space="preserve">Peer Review Report</w:t>
      </w:r>
      <w:r>
        <w:t xml:space="preserve"> </w:t>
      </w:r>
      <w:r>
        <w:t xml:space="preserve">highlights a need for more rigorous documentation of visual field progression in advanced cases.</w:t>
      </w:r>
    </w:p>
    <w:bookmarkEnd w:id="24"/>
    <w:bookmarkStart w:id="25" w:name="retinal-services"/>
    <w:p>
      <w:pPr>
        <w:pStyle w:val="Heading3"/>
      </w:pPr>
      <w:r>
        <w:t xml:space="preserve">3.3 Retinal Services</w:t>
      </w:r>
    </w:p>
    <w:p>
      <w:pPr>
        <w:pStyle w:val="FirstParagraph"/>
      </w:pPr>
      <w:r>
        <w:t xml:space="preserve">For retinal conditions, including diabetic retinopathy and age-related macular degeneration, the</w:t>
      </w:r>
      <w:r>
        <w:t xml:space="preserve"> </w:t>
      </w:r>
      <w:r>
        <w:rPr>
          <w:bCs/>
          <w:b/>
        </w:rPr>
        <w:t xml:space="preserve">Ophthalmologist</w:t>
      </w:r>
      <w:r>
        <w:t xml:space="preserve"> </w:t>
      </w:r>
      <w:r>
        <w:t xml:space="preserve">showed appropriate referral patterns and timely intervention. The use of anti-VEGF injections was consistent with current protocols.</w:t>
      </w:r>
    </w:p>
    <w:bookmarkEnd w:id="25"/>
    <w:bookmarkEnd w:id="26"/>
    <w:bookmarkStart w:id="27" w:name="patient-safety-and-infection-control"/>
    <w:p>
      <w:pPr>
        <w:pStyle w:val="Heading2"/>
      </w:pPr>
      <w:r>
        <w:t xml:space="preserve">4. Patient Safety and Infection Control</w:t>
      </w:r>
    </w:p>
    <w:p>
      <w:pPr>
        <w:pStyle w:val="FirstParagraph"/>
      </w:pPr>
      <w:r>
        <w:t xml:space="preserve">Given the high risk of post-operative endophthalmitis, strict adherence to infection control protocols is paramount. The review team inspected the surgical suite in</w:t>
      </w:r>
      <w:r>
        <w:t xml:space="preserve"> </w:t>
      </w:r>
      <w:r>
        <w:rPr>
          <w:bCs/>
          <w:b/>
        </w:rPr>
        <w:t xml:space="preserve">South Africa Cape Town</w:t>
      </w:r>
      <w:r>
        <w:t xml:space="preserve"> </w:t>
      </w:r>
      <w:r>
        <w:t xml:space="preserve">and found that sterilization procedures for surgical instruments were compliant with national health standards.</w:t>
      </w:r>
    </w:p>
    <w:p>
      <w:pPr>
        <w:pStyle w:val="BodyText"/>
      </w:pPr>
      <w:r>
        <w:t xml:space="preserve">The</w:t>
      </w:r>
      <w:r>
        <w:t xml:space="preserve"> </w:t>
      </w:r>
      <w:r>
        <w:rPr>
          <w:bCs/>
          <w:b/>
        </w:rPr>
        <w:t xml:space="preserve">Ophthalmologist</w:t>
      </w:r>
      <w:r>
        <w:t xml:space="preserve"> </w:t>
      </w:r>
      <w:r>
        <w:t xml:space="preserve">maintains a robust protocol for pre-operative antibiotic prophylaxis. No cases of surgical site infections were identified during the review period. The panel commends the practitioner for maintaining a safe environment for patients, which is critical in the local healthcare context.</w:t>
      </w:r>
    </w:p>
    <w:bookmarkEnd w:id="27"/>
    <w:bookmarkStart w:id="28" w:name="medical-records-and-documentation"/>
    <w:p>
      <w:pPr>
        <w:pStyle w:val="Heading2"/>
      </w:pPr>
      <w:r>
        <w:t xml:space="preserve">5. Medical Records and Documentation</w:t>
      </w:r>
    </w:p>
    <w:p>
      <w:pPr>
        <w:pStyle w:val="FirstParagraph"/>
      </w:pPr>
      <w:r>
        <w:t xml:space="preserve">Accurate medical records are essential for continuity of care and legal protection. The</w:t>
      </w:r>
      <w:r>
        <w:t xml:space="preserve"> </w:t>
      </w:r>
      <w:r>
        <w:rPr>
          <w:bCs/>
          <w:b/>
        </w:rPr>
        <w:t xml:space="preserve">Peer Review Report</w:t>
      </w:r>
      <w:r>
        <w:t xml:space="preserve"> </w:t>
      </w:r>
      <w:r>
        <w:t xml:space="preserve">identified that while clinical notes were generally detailed, there were occasional delays in finalizing post-operative summaries.</w:t>
      </w:r>
    </w:p>
    <w:p>
      <w:pPr>
        <w:pStyle w:val="BodyText"/>
      </w:pPr>
      <w:r>
        <w:t xml:space="preserve">The panel recommends the implementation of a standardized electronic health record (EHR) template specifically for ophthalmic procedures. This would ensure that all critical data points, such as biometry readings and surgical findings, are consistently recorded. This is particularly important for an</w:t>
      </w:r>
      <w:r>
        <w:t xml:space="preserve"> </w:t>
      </w:r>
      <w:r>
        <w:rPr>
          <w:bCs/>
          <w:b/>
        </w:rPr>
        <w:t xml:space="preserve">Ophthalmologist</w:t>
      </w:r>
      <w:r>
        <w:t xml:space="preserve"> </w:t>
      </w:r>
      <w:r>
        <w:t xml:space="preserve">managing a high volume of patients in a busy hub like</w:t>
      </w:r>
      <w:r>
        <w:t xml:space="preserve"> </w:t>
      </w:r>
      <w:r>
        <w:rPr>
          <w:bCs/>
          <w:b/>
        </w:rPr>
        <w:t xml:space="preserve">South Africa Cape Town</w:t>
      </w:r>
      <w:r>
        <w:t xml:space="preserve">.</w:t>
      </w:r>
    </w:p>
    <w:bookmarkEnd w:id="28"/>
    <w:bookmarkStart w:id="29" w:name="Xdae503c1455ca47908f92f67a1ff129010f9249"/>
    <w:p>
      <w:pPr>
        <w:pStyle w:val="Heading2"/>
      </w:pPr>
      <w:r>
        <w:t xml:space="preserve">6. Ethical Practice and Patient Communication</w:t>
      </w:r>
    </w:p>
    <w:p>
      <w:pPr>
        <w:pStyle w:val="FirstParagraph"/>
      </w:pPr>
      <w:r>
        <w:t xml:space="preserve">The review included interviews with a subset of patients to assess their experience. Feedback was overwhelmingly positive regarding the</w:t>
      </w:r>
      <w:r>
        <w:t xml:space="preserve"> </w:t>
      </w:r>
      <w:r>
        <w:rPr>
          <w:bCs/>
          <w:b/>
        </w:rPr>
        <w:t xml:space="preserve">Ophthalmologist</w:t>
      </w:r>
      <w:r>
        <w:t xml:space="preserve">'s communication style, empathy, and willingness to explain complex conditions in understandable terms.</w:t>
      </w:r>
    </w:p>
    <w:p>
      <w:pPr>
        <w:pStyle w:val="BodyText"/>
      </w:pPr>
      <w:r>
        <w:t xml:space="preserve">Informed consent processes were found to be thorough. Patients reported feeling comfortable asking questions and were adequately informed about the risks and benefits of proposed treatments. This aligns with the ethical guidelines enforced by the HPCSA in</w:t>
      </w:r>
      <w:r>
        <w:t xml:space="preserve"> </w:t>
      </w:r>
      <w:r>
        <w:rPr>
          <w:bCs/>
          <w:b/>
        </w:rPr>
        <w:t xml:space="preserve">South Africa Cape Town</w:t>
      </w:r>
      <w:r>
        <w:t xml:space="preserve">.</w:t>
      </w:r>
    </w:p>
    <w:bookmarkEnd w:id="29"/>
    <w:bookmarkStart w:id="30"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the</w:t>
      </w:r>
      <w:r>
        <w:t xml:space="preserve"> </w:t>
      </w:r>
      <w:r>
        <w:rPr>
          <w:bCs/>
          <w:b/>
        </w:rPr>
        <w:t xml:space="preserve">Ophthalmologist</w:t>
      </w:r>
      <w:r>
        <w:t xml:space="preserve">:</w:t>
      </w:r>
    </w:p>
    <w:p>
      <w:pPr>
        <w:numPr>
          <w:ilvl w:val="0"/>
          <w:numId w:val="1001"/>
        </w:numPr>
        <w:pStyle w:val="Compact"/>
      </w:pPr>
      <w:r>
        <w:rPr>
          <w:bCs/>
          <w:b/>
        </w:rPr>
        <w:t xml:space="preserve">Enhance Documentation:</w:t>
      </w:r>
      <w:r>
        <w:t xml:space="preserve"> </w:t>
      </w:r>
      <w:r>
        <w:t xml:space="preserve">Adopt a standardized template for surgical notes to ensure completeness and timeliness.</w:t>
      </w:r>
    </w:p>
    <w:p>
      <w:pPr>
        <w:numPr>
          <w:ilvl w:val="0"/>
          <w:numId w:val="1001"/>
        </w:numPr>
        <w:pStyle w:val="Compact"/>
      </w:pPr>
      <w:r>
        <w:rPr>
          <w:bCs/>
          <w:b/>
        </w:rPr>
        <w:t xml:space="preserve">Glaucoma Monitoring:</w:t>
      </w:r>
      <w:r>
        <w:t xml:space="preserve"> </w:t>
      </w:r>
      <w:r>
        <w:t xml:space="preserve">Increase the frequency of visual field testing documentation for patients with moderate to advanced glaucoma.</w:t>
      </w:r>
    </w:p>
    <w:p>
      <w:pPr>
        <w:numPr>
          <w:ilvl w:val="0"/>
          <w:numId w:val="1001"/>
        </w:numPr>
        <w:pStyle w:val="Compact"/>
      </w:pPr>
      <w:r>
        <w:rPr>
          <w:bCs/>
          <w:b/>
        </w:rPr>
        <w:t xml:space="preserve">Staff Training:</w:t>
      </w:r>
      <w:r>
        <w:t xml:space="preserve"> </w:t>
      </w:r>
      <w:r>
        <w:t xml:space="preserve">Conduct quarterly training sessions for nursing staff on updated infection control protocols specific to ophthalmic surgery.</w:t>
      </w:r>
    </w:p>
    <w:p>
      <w:pPr>
        <w:numPr>
          <w:ilvl w:val="0"/>
          <w:numId w:val="1001"/>
        </w:numPr>
        <w:pStyle w:val="Compact"/>
      </w:pPr>
      <w:r>
        <w:rPr>
          <w:bCs/>
          <w:b/>
        </w:rPr>
        <w:t xml:space="preserve">Community Engagement:</w:t>
      </w:r>
      <w:r>
        <w:t xml:space="preserve"> </w:t>
      </w:r>
      <w:r>
        <w:t xml:space="preserve">Continue and expand community outreach programs in the Western Cape to address preventable blindness.</w:t>
      </w:r>
    </w:p>
    <w:bookmarkEnd w:id="30"/>
    <w:bookmarkStart w:id="31"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confirms that the subject</w:t>
      </w:r>
      <w:r>
        <w:t xml:space="preserve"> </w:t>
      </w:r>
      <w:r>
        <w:rPr>
          <w:bCs/>
          <w:b/>
        </w:rPr>
        <w:t xml:space="preserve">Ophthalmologist</w:t>
      </w:r>
      <w:r>
        <w:t xml:space="preserve"> </w:t>
      </w:r>
      <w:r>
        <w:t xml:space="preserve">provides a high standard of care consistent with the expectations of a specialist in</w:t>
      </w:r>
      <w:r>
        <w:t xml:space="preserve"> </w:t>
      </w:r>
      <w:r>
        <w:rPr>
          <w:bCs/>
          <w:b/>
        </w:rPr>
        <w:t xml:space="preserve">South Africa Cape Town</w:t>
      </w:r>
      <w:r>
        <w:t xml:space="preserve">. The practitioner demonstrates strong clinical skills, a commitment to patient safety, and ethical practice. The recommendations provided are intended to further enhance the quality of care and operational efficiency.</w:t>
      </w:r>
    </w:p>
    <w:p>
      <w:pPr>
        <w:pStyle w:val="BodyText"/>
      </w:pPr>
      <w:r>
        <w:t xml:space="preserve">The panel recommends the renewal of the practitioner's clinical privileges and encourages ongoing participation in peer review processes to maintain excellence in ophthalmic care.</w:t>
      </w:r>
    </w:p>
    <w:bookmarkEnd w:id="31"/>
    <w:p>
      <w:pPr>
        <w:pStyle w:val="BodyText"/>
      </w:pPr>
      <w:r>
        <w:rPr>
          <w:bCs/>
          <w:b/>
        </w:rPr>
        <w:t xml:space="preserve">Dr. A. M. van der Merwe</w:t>
      </w:r>
      <w:r>
        <w:br/>
      </w:r>
      <w:r>
        <w:t xml:space="preserve">Lead Reviewer</w:t>
      </w:r>
      <w:r>
        <w:br/>
      </w:r>
      <w:r>
        <w:t xml:space="preserve">Cape Town Ophthalmic Quality Assurance Panel</w:t>
      </w:r>
    </w:p>
    <w:p>
      <w:pPr>
        <w:pStyle w:val="BodyText"/>
      </w:pPr>
      <w:r>
        <w:rPr>
          <w:bCs/>
          <w:b/>
        </w:rPr>
        <w:t xml:space="preserve">Dr. S. Naidoo</w:t>
      </w:r>
      <w:r>
        <w:br/>
      </w:r>
      <w:r>
        <w:t xml:space="preserve">Senior Reviewer</w:t>
      </w:r>
      <w:r>
        <w:br/>
      </w:r>
      <w:r>
        <w:t xml:space="preserve">HPCSA Representative</w:t>
      </w:r>
    </w:p>
    <w:p>
      <w:pPr>
        <w:pStyle w:val="BodyText"/>
      </w:pPr>
      <w:r>
        <w:t xml:space="preserve">Confidential Document - For Internal Use Only</w:t>
      </w:r>
      <w:r>
        <w:br/>
      </w:r>
      <w:r>
        <w:t xml:space="preserve">Generated in accordance with South African Medical Council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Cape Town, South Africa</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