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 Clinical Performance Evaluation</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performance, professional conduct, and adherence to medical standards of an Ophthalmologist practicing in South Korea Seoul. The purpose of this review is to ensure that the highest standards of patient care, safety, and medical excellence are maintained within the ophthalmology department. This document serves as a formal assessment tool for continuous quality improvement and regulatory compliance.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competence and diagnostic accuracy in ophthalmology.</w:t>
      </w:r>
    </w:p>
    <w:p>
      <w:pPr>
        <w:numPr>
          <w:ilvl w:val="0"/>
          <w:numId w:val="1001"/>
        </w:numPr>
        <w:pStyle w:val="Compact"/>
      </w:pPr>
      <w:r>
        <w:t xml:space="preserve">Surgical skills and outcomes in procedures such as cataract surgery, LASIK, and retinal interventions.</w:t>
      </w:r>
    </w:p>
    <w:p>
      <w:pPr>
        <w:numPr>
          <w:ilvl w:val="0"/>
          <w:numId w:val="1001"/>
        </w:numPr>
        <w:pStyle w:val="Compact"/>
      </w:pPr>
      <w:r>
        <w:t xml:space="preserve">Patient care and communication skills.</w:t>
      </w:r>
    </w:p>
    <w:p>
      <w:pPr>
        <w:numPr>
          <w:ilvl w:val="0"/>
          <w:numId w:val="1001"/>
        </w:numPr>
        <w:pStyle w:val="Compact"/>
      </w:pPr>
      <w:r>
        <w:t xml:space="preserve">Adherence to medical protocols and guidelines specific to South Korea Seoul healthcare standards.</w:t>
      </w:r>
    </w:p>
    <w:p>
      <w:pPr>
        <w:numPr>
          <w:ilvl w:val="0"/>
          <w:numId w:val="1001"/>
        </w:numPr>
        <w:pStyle w:val="Compact"/>
      </w:pPr>
      <w:r>
        <w:t xml:space="preserve">Ethical conduct and professional behavior.</w:t>
      </w:r>
    </w:p>
    <w:bookmarkEnd w:id="22"/>
    <w:bookmarkStart w:id="23" w:name="clinical-competence"/>
    <w:p>
      <w:pPr>
        <w:pStyle w:val="Heading2"/>
      </w:pPr>
      <w:r>
        <w:t xml:space="preserve">3. Clinical Competence</w:t>
      </w:r>
    </w:p>
    <w:p>
      <w:pPr>
        <w:pStyle w:val="FirstParagraph"/>
      </w:pPr>
      <w:r>
        <w:t xml:space="preserve">The Ophthalmologist under review has demonstrated a high level of clinical competence. Their diagnostic accuracy in identifying and managing various eye conditions, including glaucoma, macular degeneration, and diabetic retinopathy, is commendable. The use of advanced diagnostic tools and technologies available in South Korea Seoul has been effectively integrated into their practice, ensuring precise and timely diagnoses.</w:t>
      </w:r>
    </w:p>
    <w:p>
      <w:pPr>
        <w:pStyle w:val="BodyText"/>
      </w:pPr>
      <w:r>
        <w:t xml:space="preserve">Furthermore, the Ophthalmologist's ability to develop and implement personalized treatment plans for patients reflects a deep understanding of ophthalmic medicine and a commitment to patient-centered care.</w:t>
      </w:r>
    </w:p>
    <w:bookmarkEnd w:id="23"/>
    <w:bookmarkStart w:id="24" w:name="surgical-skills-and-outcomes"/>
    <w:p>
      <w:pPr>
        <w:pStyle w:val="Heading2"/>
      </w:pPr>
      <w:r>
        <w:t xml:space="preserve">4. Surgical Skills and Outcomes</w:t>
      </w:r>
    </w:p>
    <w:p>
      <w:pPr>
        <w:pStyle w:val="FirstParagraph"/>
      </w:pPr>
      <w:r>
        <w:t xml:space="preserve">The surgical skills of the Ophthalmologist have been thoroughly evaluated. Procedures performed, including cataract extraction, refractive surgery, and vitreoretinal surgery, have shown excellent outcomes with minimal complications. The Ophthalmologist's proficiency in utilizing state-of-the-art surgical equipment and techniques available in South Korea Seoul has contributed to the success of these procedures.</w:t>
      </w:r>
    </w:p>
    <w:p>
      <w:pPr>
        <w:pStyle w:val="BodyText"/>
      </w:pPr>
      <w:r>
        <w:t xml:space="preserve">Patient feedback and post-operative follow-up data indicate high satisfaction rates and successful visual outcomes, further validating the Ophthalmologist's surgical expertise.</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quality healthcare. The Ophthalmologist has consistently demonstrated strong communication skills, ensuring that patients are well-informed about their conditions, treatment options, and expected outcomes. The ability to explain complex medical information in a clear and understandable manner has been particularly noted.</w:t>
      </w:r>
    </w:p>
    <w:p>
      <w:pPr>
        <w:pStyle w:val="BodyText"/>
      </w:pPr>
      <w:r>
        <w:t xml:space="preserve">Additionally, the Ophthalmologist's empathetic approach and attentiveness to patient concerns have fostered a trusting and supportive environment, enhancing the overall patient experience in South Korea Seoul.</w:t>
      </w:r>
    </w:p>
    <w:bookmarkEnd w:id="25"/>
    <w:bookmarkStart w:id="26" w:name="adherence-to-medical-protocols"/>
    <w:p>
      <w:pPr>
        <w:pStyle w:val="Heading2"/>
      </w:pPr>
      <w:r>
        <w:t xml:space="preserve">6. Adherence to Medical Protocols</w:t>
      </w:r>
    </w:p>
    <w:p>
      <w:pPr>
        <w:pStyle w:val="FirstParagraph"/>
      </w:pPr>
      <w:r>
        <w:t xml:space="preserve">The Ophthalmologist has shown strict adherence to medical protocols and guidelines established by relevant healthcare authorities in South Korea Seoul. This includes compliance with infection control measures, documentation standards, and ethical guidelines. Regular participation in continuing medical education and professional development activities further underscores their commitment to maintaining up-to-date knowledge and skills.</w:t>
      </w:r>
    </w:p>
    <w:bookmarkEnd w:id="26"/>
    <w:bookmarkStart w:id="27" w:name="X0126a15797055527d3e209b5570433446da6e1f"/>
    <w:p>
      <w:pPr>
        <w:pStyle w:val="Heading2"/>
      </w:pPr>
      <w:r>
        <w:t xml:space="preserve">7. Ethical Conduct and Professional Behavior</w:t>
      </w:r>
    </w:p>
    <w:p>
      <w:pPr>
        <w:pStyle w:val="FirstParagraph"/>
      </w:pPr>
      <w:r>
        <w:t xml:space="preserve">Ethical conduct is paramount in the medical profession. The Ophthalmologist has consistently upheld the highest ethical standards, demonstrating integrity, honesty, and respect in all professional interactions. There have been no reported incidents of misconduct or ethical violations during the review period.</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technologies and techniques available in South Korea Seoul to enhance diagnostic and surgical outcomes.</w:t>
      </w:r>
    </w:p>
    <w:p>
      <w:pPr>
        <w:numPr>
          <w:ilvl w:val="0"/>
          <w:numId w:val="1002"/>
        </w:numPr>
        <w:pStyle w:val="Compact"/>
      </w:pPr>
      <w:r>
        <w:t xml:space="preserve">Maintain and further develop strong patient communication skills to ensure ongoing high levels of patient satisfaction.</w:t>
      </w:r>
    </w:p>
    <w:p>
      <w:pPr>
        <w:numPr>
          <w:ilvl w:val="0"/>
          <w:numId w:val="1002"/>
        </w:numPr>
        <w:pStyle w:val="Compact"/>
      </w:pPr>
      <w:r>
        <w:t xml:space="preserve">Participate in regular peer review sessions and collaborative case discussions to foster continuous learning and improvement.</w:t>
      </w:r>
    </w:p>
    <w:bookmarkEnd w:id="28"/>
    <w:bookmarkStart w:id="29" w:name="conclusion"/>
    <w:p>
      <w:pPr>
        <w:pStyle w:val="Heading2"/>
      </w:pPr>
      <w:r>
        <w:t xml:space="preserve">9. Conclusion</w:t>
      </w:r>
    </w:p>
    <w:p>
      <w:pPr>
        <w:pStyle w:val="FirstParagraph"/>
      </w:pPr>
      <w:r>
        <w:t xml:space="preserve">In conclusion, the Ophthalmologist under review has demonstrated exceptional clinical competence, surgical skills, and professional conduct. Their contributions to the field of ophthalmology in South Korea Seoul are highly valued, and they continue to uphold the highest standards of medical practice. This Peer Review Report affirms their suitability for continued practice and recommends ongoing support for their professional development.</w:t>
      </w:r>
    </w:p>
    <w:bookmarkEnd w:id="29"/>
    <w:p>
      <w:pPr>
        <w:pStyle w:val="BodyText"/>
      </w:pPr>
      <w:r>
        <w:rPr>
          <w:bCs/>
          <w:b/>
        </w:rPr>
        <w:t xml:space="preserve">Prepared by:</w:t>
      </w:r>
    </w:p>
    <w:p>
      <w:pPr>
        <w:pStyle w:val="BodyText"/>
      </w:pPr>
      <w:r>
        <w:t xml:space="preserve">Dr. Jane Doe</w:t>
      </w:r>
    </w:p>
    <w:p>
      <w:pPr>
        <w:pStyle w:val="BodyText"/>
      </w:pPr>
      <w:r>
        <w:t xml:space="preserve">Senior Ophthalmologist</w:t>
      </w:r>
    </w:p>
    <w:p>
      <w:pPr>
        <w:pStyle w:val="BodyText"/>
      </w:pPr>
      <w:r>
        <w:t xml:space="preserve">Seoul National University Hospital</w:t>
      </w:r>
    </w:p>
    <w:p>
      <w:pPr>
        <w:pStyle w:val="BodyText"/>
      </w:pP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South Korea Seoul</dc:title>
  <dc:creator/>
  <dc:language>en</dc:language>
  <cp:keywords/>
  <dcterms:created xsi:type="dcterms:W3CDTF">2026-10-10T04:35:40Z</dcterms:created>
  <dcterms:modified xsi:type="dcterms:W3CDTF">2026-10-10T04:35:40Z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