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Turkey Ankara</w:t>
      </w:r>
    </w:p>
    <w:bookmarkEnd w:id="20"/>
    <w:p>
      <w:pPr>
        <w:pStyle w:val="BodyText"/>
      </w:pPr>
      <w:r>
        <w:rPr>
          <w:bCs/>
          <w:b/>
        </w:rPr>
        <w:t xml:space="preserve">Review ID:</w:t>
      </w:r>
      <w:r>
        <w:t xml:space="preserve"> </w:t>
      </w:r>
      <w:r>
        <w:t xml:space="preserve">TR-ANK-Oph-2023-894</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Ankara Medical Association - Ophthalmology Board</w:t>
      </w:r>
    </w:p>
    <w:p>
      <w:pPr>
        <w:pStyle w:val="BodyText"/>
      </w:pPr>
      <w:r>
        <w:rPr>
          <w:bCs/>
          <w:b/>
        </w:rPr>
        <w:t xml:space="preserve">Facility:</w:t>
      </w:r>
      <w:r>
        <w:t xml:space="preserve"> </w:t>
      </w:r>
      <w:r>
        <w:t xml:space="preserve">Central Ankara Eye Hospital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the clinical practices, surgical proficiency, and patient management strategies of a senior</w:t>
      </w:r>
      <w:r>
        <w:t xml:space="preserve"> </w:t>
      </w:r>
      <w:r>
        <w:rPr>
          <w:bCs/>
          <w:b/>
        </w:rPr>
        <w:t xml:space="preserve">Ophthalmologist</w:t>
      </w:r>
      <w:r>
        <w:t xml:space="preserve"> </w:t>
      </w:r>
      <w:r>
        <w:t xml:space="preserve">practicing within the</w:t>
      </w:r>
      <w:r>
        <w:t xml:space="preserve"> </w:t>
      </w:r>
      <w:r>
        <w:rPr>
          <w:bCs/>
          <w:b/>
        </w:rPr>
        <w:t xml:space="preserve">Turkey Ankara</w:t>
      </w:r>
      <w:r>
        <w:t xml:space="preserve"> </w:t>
      </w:r>
      <w:r>
        <w:t xml:space="preserve">metropolitan area. The review was conducted in accordance with the standards set by the Turkish Medical Association and international ophthalmological guidelines. The primary objective was to ensure that the highest standards of eye care are maintained, reflecting the advanced medical infrastructure available in the capital city.</w:t>
      </w:r>
    </w:p>
    <w:p>
      <w:pPr>
        <w:pStyle w:val="BodyText"/>
      </w:pPr>
      <w:r>
        <w:t xml:space="preserve">The assessment covers a six-month period of clinical activity, including routine consultations, complex surgical interventions, and post-operative care. The findings indicate a high level of adherence to clinical protocols, with specific commendations for the management of retinal pathologies and refractive surgeries.</w:t>
      </w:r>
    </w:p>
    <w:bookmarkEnd w:id="21"/>
    <w:bookmarkStart w:id="24" w:name="X5a463533dc425dcc0ad20aeca4589a3ccb895cc"/>
    <w:p>
      <w:pPr>
        <w:pStyle w:val="Heading2"/>
      </w:pPr>
      <w:r>
        <w:t xml:space="preserve">2. Scope of Practice and Clinical Competency</w:t>
      </w:r>
    </w:p>
    <w:p>
      <w:pPr>
        <w:pStyle w:val="FirstParagraph"/>
      </w:pPr>
      <w:r>
        <w:t xml:space="preserve">The</w:t>
      </w:r>
      <w:r>
        <w:t xml:space="preserve"> </w:t>
      </w:r>
      <w:r>
        <w:rPr>
          <w:bCs/>
          <w:b/>
        </w:rPr>
        <w:t xml:space="preserve">Ophthalmologist</w:t>
      </w:r>
      <w:r>
        <w:t xml:space="preserve"> </w:t>
      </w:r>
      <w:r>
        <w:t xml:space="preserve">under review demonstrates a robust command of general ophthalmology and subspecialty procedures. In the context of</w:t>
      </w:r>
      <w:r>
        <w:t xml:space="preserve"> </w:t>
      </w:r>
      <w:r>
        <w:rPr>
          <w:bCs/>
          <w:b/>
        </w:rPr>
        <w:t xml:space="preserve">Turkey Ankara</w:t>
      </w:r>
      <w:r>
        <w:t xml:space="preserve">, where patient expectations for medical excellence are exceptionally high due to the concentration of top-tier medical universities and hospitals, the practitioner's performance is evaluated against rigorous benchmarks.</w:t>
      </w:r>
    </w:p>
    <w:bookmarkStart w:id="22" w:name="diagnostic-accuracy"/>
    <w:p>
      <w:pPr>
        <w:pStyle w:val="Heading3"/>
      </w:pPr>
      <w:r>
        <w:t xml:space="preserve">2.1 Diagnostic Accuracy</w:t>
      </w:r>
    </w:p>
    <w:p>
      <w:pPr>
        <w:pStyle w:val="FirstParagraph"/>
      </w:pPr>
      <w:r>
        <w:t xml:space="preserve">The review of 150 randomly selected patient files reveals a diagnostic accuracy rate of 98%. The</w:t>
      </w:r>
      <w:r>
        <w:t xml:space="preserve"> </w:t>
      </w:r>
      <w:r>
        <w:rPr>
          <w:bCs/>
          <w:b/>
        </w:rPr>
        <w:t xml:space="preserve">Ophthalmologist</w:t>
      </w:r>
      <w:r>
        <w:t xml:space="preserve"> </w:t>
      </w:r>
      <w:r>
        <w:t xml:space="preserve">effectively utilizes advanced diagnostic technologies, including Optical Coherence Tomography (OCT) and wide-field fundus imaging, which are standard in modern Ankara clinics. The differential diagnoses for complex cases, such as uveitis and neuro-ophthalmic disorders, were well-reasoned and supported by appropriate literature.</w:t>
      </w:r>
    </w:p>
    <w:bookmarkEnd w:id="22"/>
    <w:bookmarkStart w:id="23" w:name="surgical-proficiency"/>
    <w:p>
      <w:pPr>
        <w:pStyle w:val="Heading3"/>
      </w:pPr>
      <w:r>
        <w:t xml:space="preserve">2.2 Surgical Proficiency</w:t>
      </w:r>
    </w:p>
    <w:p>
      <w:pPr>
        <w:pStyle w:val="FirstParagraph"/>
      </w:pPr>
      <w:r>
        <w:t xml:space="preserve">Surgical outcomes were analyzed for cataract surgeries, LASIK procedures, and vitreoretinal interventions. The complication rates were found to be significantly lower than the national average. Specifically, the management of posterior capsule rupture during cataract extraction demonstrated advanced microsurgical skills. The</w:t>
      </w:r>
      <w:r>
        <w:t xml:space="preserve"> </w:t>
      </w:r>
      <w:r>
        <w:rPr>
          <w:bCs/>
          <w:b/>
        </w:rPr>
        <w:t xml:space="preserve">Ophthalmologist</w:t>
      </w:r>
      <w:r>
        <w:t xml:space="preserve"> </w:t>
      </w:r>
      <w:r>
        <w:t xml:space="preserve">maintains a sterile field and adheres strictly to infection control protocols, a critical factor in reducing post-operative endophthalmitis risks.</w:t>
      </w:r>
    </w:p>
    <w:bookmarkEnd w:id="23"/>
    <w:bookmarkEnd w:id="24"/>
    <w:bookmarkStart w:id="25" w:name="patient-care-and-communication"/>
    <w:p>
      <w:pPr>
        <w:pStyle w:val="Heading2"/>
      </w:pPr>
      <w:r>
        <w:t xml:space="preserve">3. Patient Care and Communication</w:t>
      </w:r>
    </w:p>
    <w:p>
      <w:pPr>
        <w:pStyle w:val="FirstParagraph"/>
      </w:pPr>
      <w:r>
        <w:t xml:space="preserve">Effective communication is a cornerstone of medical practice in</w:t>
      </w:r>
      <w:r>
        <w:t xml:space="preserve"> </w:t>
      </w:r>
      <w:r>
        <w:rPr>
          <w:bCs/>
          <w:b/>
        </w:rPr>
        <w:t xml:space="preserve">Turkey Ankara</w:t>
      </w:r>
      <w:r>
        <w:t xml:space="preserve">, a diverse and cosmopolitan hub. This</w:t>
      </w:r>
      <w:r>
        <w:t xml:space="preserve"> </w:t>
      </w:r>
      <w:r>
        <w:rPr>
          <w:bCs/>
          <w:b/>
        </w:rPr>
        <w:t xml:space="preserve">Peer Review Report</w:t>
      </w:r>
      <w:r>
        <w:t xml:space="preserve"> </w:t>
      </w:r>
      <w:r>
        <w:t xml:space="preserve">highlights the</w:t>
      </w:r>
      <w:r>
        <w:t xml:space="preserve"> </w:t>
      </w:r>
      <w:r>
        <w:rPr>
          <w:bCs/>
          <w:b/>
        </w:rPr>
        <w:t xml:space="preserve">Ophthalmologist</w:t>
      </w:r>
      <w:r>
        <w:t xml:space="preserve">'s ability to communicate complex medical information to patients from varied cultural and educational backgrounds.</w:t>
      </w:r>
    </w:p>
    <w:p>
      <w:pPr>
        <w:numPr>
          <w:ilvl w:val="0"/>
          <w:numId w:val="1001"/>
        </w:numPr>
        <w:pStyle w:val="Compact"/>
      </w:pPr>
      <w:r>
        <w:rPr>
          <w:bCs/>
          <w:b/>
        </w:rPr>
        <w:t xml:space="preserve">Informed Consent:</w:t>
      </w:r>
      <w:r>
        <w:t xml:space="preserve"> </w:t>
      </w:r>
      <w:r>
        <w:t xml:space="preserve">Documentation shows that informed consent is obtained thoroughly, ensuring patients understand the risks, benefits, and alternatives of proposed treatments.</w:t>
      </w:r>
    </w:p>
    <w:p>
      <w:pPr>
        <w:numPr>
          <w:ilvl w:val="0"/>
          <w:numId w:val="1001"/>
        </w:numPr>
        <w:pStyle w:val="Compact"/>
      </w:pPr>
      <w:r>
        <w:rPr>
          <w:bCs/>
          <w:b/>
        </w:rPr>
        <w:t xml:space="preserve">Empathy and Bedside Manner:</w:t>
      </w:r>
      <w:r>
        <w:t xml:space="preserve"> </w:t>
      </w:r>
      <w:r>
        <w:t xml:space="preserve">Patient feedback forms indicate high satisfaction levels regarding the doctor's empathy and willingness to address concerns.</w:t>
      </w:r>
    </w:p>
    <w:p>
      <w:pPr>
        <w:numPr>
          <w:ilvl w:val="0"/>
          <w:numId w:val="1001"/>
        </w:numPr>
        <w:pStyle w:val="Compact"/>
      </w:pPr>
      <w:r>
        <w:rPr>
          <w:bCs/>
          <w:b/>
        </w:rPr>
        <w:t xml:space="preserve">Continuity of Care:</w:t>
      </w:r>
      <w:r>
        <w:t xml:space="preserve"> </w:t>
      </w:r>
      <w:r>
        <w:t xml:space="preserve">The practitioner ensures seamless follow-up care, which is vital for chronic conditions like glaucoma and diabetic retinopathy.</w:t>
      </w:r>
    </w:p>
    <w:bookmarkEnd w:id="25"/>
    <w:bookmarkStart w:id="26" w:name="X90ff44a3b2fe96e4404222c6bc67d7e2b61100f"/>
    <w:p>
      <w:pPr>
        <w:pStyle w:val="Heading2"/>
      </w:pPr>
      <w:r>
        <w:t xml:space="preserve">4. Adherence to Ethical Standards and Regulations</w:t>
      </w:r>
    </w:p>
    <w:p>
      <w:pPr>
        <w:pStyle w:val="FirstParagraph"/>
      </w:pPr>
      <w:r>
        <w:t xml:space="preserve">The review confirms full compliance with the Turkish Medical Ethics Code. The</w:t>
      </w:r>
      <w:r>
        <w:t xml:space="preserve"> </w:t>
      </w:r>
      <w:r>
        <w:rPr>
          <w:bCs/>
          <w:b/>
        </w:rPr>
        <w:t xml:space="preserve">Ophthalmologist</w:t>
      </w:r>
      <w:r>
        <w:t xml:space="preserve"> </w:t>
      </w:r>
      <w:r>
        <w:t xml:space="preserve">maintains patient confidentiality and handles medical records with integrity. There were no instances of over-treatment or unnecessary referrals identified during the audit. The pricing transparency and billing practices align with the regulations enforced by the Ministry of Health in</w:t>
      </w:r>
      <w:r>
        <w:t xml:space="preserve"> </w:t>
      </w:r>
      <w:r>
        <w:rPr>
          <w:bCs/>
          <w:b/>
        </w:rPr>
        <w:t xml:space="preserve">Turkey Ankara</w:t>
      </w:r>
      <w:r>
        <w:t xml:space="preserve">.</w:t>
      </w:r>
    </w:p>
    <w:bookmarkEnd w:id="26"/>
    <w:bookmarkStart w:id="27" w:name="X53109a6d7adf39097b79f94d80260fa120de028"/>
    <w:p>
      <w:pPr>
        <w:pStyle w:val="Heading2"/>
      </w:pPr>
      <w:r>
        <w:t xml:space="preserve">5. Professional Development and Contribution</w:t>
      </w:r>
    </w:p>
    <w:p>
      <w:pPr>
        <w:pStyle w:val="FirstParagraph"/>
      </w:pPr>
      <w:r>
        <w:t xml:space="preserve">Continuous professional development is essential for an</w:t>
      </w:r>
      <w:r>
        <w:t xml:space="preserve"> </w:t>
      </w:r>
      <w:r>
        <w:rPr>
          <w:bCs/>
          <w:b/>
        </w:rPr>
        <w:t xml:space="preserve">Ophthalmologist</w:t>
      </w:r>
      <w:r>
        <w:t xml:space="preserve"> </w:t>
      </w:r>
      <w:r>
        <w:t xml:space="preserve">to keep pace with rapid technological advancements. The subject of this review actively participates in local and international conferences. Notably, they have contributed to research published in peer-reviewed journals regarding refractive surgery outcomes in the Turkish population. This commitment to academic excellence enhances the reputation of the medical community in</w:t>
      </w:r>
      <w:r>
        <w:t xml:space="preserve"> </w:t>
      </w:r>
      <w:r>
        <w:rPr>
          <w:bCs/>
          <w:b/>
        </w:rPr>
        <w:t xml:space="preserve">Turkey Ankara</w:t>
      </w:r>
      <w:r>
        <w:t xml:space="preserve">.</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w:t>
      </w:r>
    </w:p>
    <w:p>
      <w:pPr>
        <w:numPr>
          <w:ilvl w:val="0"/>
          <w:numId w:val="1002"/>
        </w:numPr>
        <w:pStyle w:val="Compact"/>
      </w:pPr>
      <w:r>
        <w:rPr>
          <w:bCs/>
          <w:b/>
        </w:rPr>
        <w:t xml:space="preserve">Telemedicine Integration:</w:t>
      </w:r>
      <w:r>
        <w:t xml:space="preserve"> </w:t>
      </w:r>
      <w:r>
        <w:t xml:space="preserve">Leverage digital health platforms to improve follow-up accessibility for patients in surrounding provinces of Ankara.</w:t>
      </w:r>
    </w:p>
    <w:p>
      <w:pPr>
        <w:numPr>
          <w:ilvl w:val="0"/>
          <w:numId w:val="1002"/>
        </w:numPr>
        <w:pStyle w:val="Compact"/>
      </w:pPr>
      <w:r>
        <w:rPr>
          <w:bCs/>
          <w:b/>
        </w:rPr>
        <w:t xml:space="preserve">Glaucoma Registry:</w:t>
      </w:r>
      <w:r>
        <w:t xml:space="preserve"> </w:t>
      </w:r>
      <w:r>
        <w:t xml:space="preserve">Participate in a regional glaucoma registry to contribute to epidemiological data and improve long-term management strategies.</w:t>
      </w:r>
    </w:p>
    <w:p>
      <w:pPr>
        <w:numPr>
          <w:ilvl w:val="0"/>
          <w:numId w:val="1002"/>
        </w:numPr>
        <w:pStyle w:val="Compact"/>
      </w:pPr>
      <w:r>
        <w:rPr>
          <w:bCs/>
          <w:b/>
        </w:rPr>
        <w:t xml:space="preserve">Multidisciplinary Collaboration:</w:t>
      </w:r>
      <w:r>
        <w:t xml:space="preserve"> </w:t>
      </w:r>
      <w:r>
        <w:t xml:space="preserve">Strengthen collaboration with endocrinologists for better management of diabetic eye disease, given the rising prevalence of diabetes in the region.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Ophthalmologist</w:t>
      </w:r>
      <w:r>
        <w:t xml:space="preserve"> </w:t>
      </w:r>
      <w:r>
        <w:t xml:space="preserve">under review maintains a standard of care that is exemplary and consistent with the high expectations of</w:t>
      </w:r>
      <w:r>
        <w:t xml:space="preserve"> </w:t>
      </w:r>
      <w:r>
        <w:rPr>
          <w:bCs/>
          <w:b/>
        </w:rPr>
        <w:t xml:space="preserve">Turkey Ankara</w:t>
      </w:r>
      <w:r>
        <w:t xml:space="preserve">. The combination of technical surgical skill, diagnostic acumen, and compassionate patient care positions this practitioner as a valuable asset to the healthcare system. The review board recommends the renewal of clinical privileges without restriction.</w:t>
      </w:r>
    </w:p>
    <w:p>
      <w:pPr>
        <w:pStyle w:val="BodyText"/>
      </w:pPr>
      <w:r>
        <w:t xml:space="preserve">Dr. Ahmet Yilmaz</w:t>
      </w:r>
    </w:p>
    <w:p>
      <w:pPr>
        <w:pStyle w:val="BodyText"/>
      </w:pPr>
      <w:r>
        <w:t xml:space="preserve">Lead Reviewer</w:t>
      </w:r>
      <w:r>
        <w:br/>
      </w:r>
      <w:r>
        <w:t xml:space="preserve">Ankara Ophthalmology Board</w:t>
      </w:r>
    </w:p>
    <w:p>
      <w:pPr>
        <w:pStyle w:val="BodyText"/>
      </w:pPr>
      <w:r>
        <w:t xml:space="preserve">Dr. Elif Kaya</w:t>
      </w:r>
    </w:p>
    <w:p>
      <w:pPr>
        <w:pStyle w:val="BodyText"/>
      </w:pPr>
      <w:r>
        <w:t xml:space="preserve">Senior Auditor</w:t>
      </w:r>
      <w:r>
        <w:br/>
      </w:r>
      <w:r>
        <w:t xml:space="preserve">Turkish Medical Association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Turkey Ankara</dc:title>
  <dc:creator/>
  <dc:language>en</dc:language>
  <cp:keywords/>
  <dcterms:created xsi:type="dcterms:W3CDTF">2026-10-10T03:50:31Z</dcterms:created>
  <dcterms:modified xsi:type="dcterms:W3CDTF">2026-10-10T03:50:31Z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